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1D55A" w14:textId="654FABF1"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8661D1">
        <w:rPr>
          <w:rFonts w:cs="Arial"/>
          <w:noProof w:val="0"/>
          <w:sz w:val="24"/>
          <w:szCs w:val="24"/>
        </w:rPr>
        <w:t>1</w:t>
      </w:r>
      <w:r w:rsidR="00930998">
        <w:rPr>
          <w:rFonts w:cs="Arial"/>
          <w:noProof w:val="0"/>
          <w:sz w:val="24"/>
          <w:szCs w:val="24"/>
        </w:rPr>
        <w:t>9</w:t>
      </w:r>
      <w:r w:rsidR="00FE4DBF">
        <w:rPr>
          <w:rFonts w:cs="Arial"/>
          <w:noProof w:val="0"/>
          <w:sz w:val="24"/>
          <w:szCs w:val="24"/>
        </w:rPr>
        <w:t>-bis</w:t>
      </w:r>
      <w:r>
        <w:rPr>
          <w:rFonts w:cs="Arial"/>
          <w:bCs/>
          <w:noProof w:val="0"/>
          <w:sz w:val="24"/>
        </w:rPr>
        <w:tab/>
      </w:r>
      <w:r w:rsidR="00CA2D90" w:rsidRPr="00CA2D90">
        <w:rPr>
          <w:rFonts w:cs="Arial"/>
          <w:bCs/>
          <w:noProof w:val="0"/>
          <w:sz w:val="24"/>
          <w:lang w:eastAsia="ja-JP"/>
        </w:rPr>
        <w:t>R3-231584</w:t>
      </w:r>
    </w:p>
    <w:p w14:paraId="55C2C685" w14:textId="37767E57" w:rsidR="004F4425" w:rsidRDefault="00BB4D03" w:rsidP="004F4425">
      <w:pPr>
        <w:pStyle w:val="CRCoverPage"/>
        <w:outlineLvl w:val="0"/>
        <w:rPr>
          <w:b/>
          <w:noProof/>
          <w:sz w:val="24"/>
        </w:rPr>
      </w:pPr>
      <w:r w:rsidRPr="00BB4D03">
        <w:rPr>
          <w:b/>
          <w:noProof/>
          <w:sz w:val="24"/>
        </w:rPr>
        <w:t>Electronic meeting, April 16th – 25th 2023</w:t>
      </w:r>
    </w:p>
    <w:p w14:paraId="2C46BA94" w14:textId="77777777" w:rsidR="00501135" w:rsidRDefault="00501135">
      <w:pPr>
        <w:pStyle w:val="Header"/>
        <w:rPr>
          <w:rFonts w:cs="Arial"/>
          <w:bCs/>
          <w:noProof w:val="0"/>
          <w:sz w:val="24"/>
          <w:lang w:val="en-GB" w:eastAsia="ja-JP"/>
        </w:rPr>
      </w:pPr>
    </w:p>
    <w:p w14:paraId="30708693" w14:textId="77777777"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2E2681" w:rsidRPr="00CA2D90">
        <w:rPr>
          <w:rFonts w:cs="Arial"/>
          <w:b/>
          <w:bCs/>
          <w:color w:val="000000"/>
          <w:sz w:val="24"/>
          <w:szCs w:val="24"/>
          <w:lang w:val="en-US"/>
        </w:rPr>
        <w:t>1</w:t>
      </w:r>
      <w:r w:rsidR="009C3A7D" w:rsidRPr="00CA2D90">
        <w:rPr>
          <w:rFonts w:cs="Arial"/>
          <w:b/>
          <w:bCs/>
          <w:color w:val="000000"/>
          <w:sz w:val="24"/>
          <w:szCs w:val="24"/>
          <w:lang w:val="en-US"/>
        </w:rPr>
        <w:t>0.2.1</w:t>
      </w:r>
    </w:p>
    <w:p w14:paraId="67E781D4" w14:textId="77777777"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Ericsson</w:t>
      </w:r>
    </w:p>
    <w:p w14:paraId="376C8658" w14:textId="0D829116"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9C3A7D" w:rsidRPr="009C3A7D">
        <w:rPr>
          <w:rFonts w:cs="Arial"/>
          <w:b/>
          <w:bCs/>
          <w:color w:val="000000"/>
          <w:sz w:val="24"/>
          <w:szCs w:val="24"/>
        </w:rPr>
        <w:t>Inter-RAT SHR and SPR discussion</w:t>
      </w:r>
    </w:p>
    <w:p w14:paraId="596AC020"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6F59638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A5B409F" w14:textId="479950A2" w:rsidR="00E66923" w:rsidRDefault="00F56736" w:rsidP="00F56736">
      <w:r>
        <w:t xml:space="preserve">SPR for NR-DC was discussed during </w:t>
      </w:r>
      <w:r w:rsidR="00EE20F1">
        <w:t>previous RAN3 meetings.</w:t>
      </w:r>
      <w:r w:rsidR="00233A9F">
        <w:t xml:space="preserve"> In this contribution we </w:t>
      </w:r>
      <w:r w:rsidR="00B0049E">
        <w:t xml:space="preserve">continue discussing some of the </w:t>
      </w:r>
      <w:r w:rsidR="00D241A7">
        <w:t>topics which are not yet concluded such as the SPR configuration and root cause analysis, fetching and forwarding mechanisms and the content of the report.</w:t>
      </w:r>
    </w:p>
    <w:p w14:paraId="4FB4AAD8" w14:textId="77954AFD" w:rsidR="00D241A7" w:rsidRPr="00D241A7" w:rsidRDefault="00D241A7" w:rsidP="00F56736">
      <w:r w:rsidRPr="00D241A7">
        <w:t>Inter-RAT SHR</w:t>
      </w:r>
      <w:r>
        <w:t xml:space="preserve"> was also discussed</w:t>
      </w:r>
      <w:r w:rsidR="00EA5CE1">
        <w:t xml:space="preserve">. In this contribution, we </w:t>
      </w:r>
      <w:r w:rsidR="00EA5CE1">
        <w:t xml:space="preserve">continue discussing some topics such as </w:t>
      </w:r>
      <w:r w:rsidR="00EA5CE1">
        <w:t xml:space="preserve">new information which may be useful to the inter-RAT SHR, </w:t>
      </w:r>
      <w:r w:rsidR="00C27283">
        <w:t>and fetching and forwarding the inter-RAT SHR</w:t>
      </w:r>
      <w:r w:rsidR="00EA5CE1">
        <w:t>.</w:t>
      </w:r>
    </w:p>
    <w:p w14:paraId="2BE2E8EF"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r>
      <w:bookmarkEnd w:id="8"/>
      <w:bookmarkEnd w:id="9"/>
      <w:bookmarkEnd w:id="10"/>
      <w:bookmarkEnd w:id="11"/>
      <w:bookmarkEnd w:id="12"/>
      <w:bookmarkEnd w:id="13"/>
      <w:bookmarkEnd w:id="14"/>
      <w:r w:rsidR="00D7646A">
        <w:rPr>
          <w:rFonts w:cs="Arial"/>
        </w:rPr>
        <w:t>SPR for NR-DC</w:t>
      </w:r>
    </w:p>
    <w:p w14:paraId="3205ED99" w14:textId="3982E979" w:rsidR="009103A0" w:rsidRDefault="009103A0" w:rsidP="004A2020">
      <w:pPr>
        <w:pStyle w:val="Heading2"/>
      </w:pPr>
      <w:r>
        <w:t>2.1</w:t>
      </w:r>
      <w:r w:rsidR="001721F6">
        <w:tab/>
      </w:r>
      <w:r w:rsidR="007B2B30">
        <w:t xml:space="preserve">SPR configuration </w:t>
      </w:r>
      <w:r w:rsidR="004A2020">
        <w:t>and root cause analysis</w:t>
      </w:r>
    </w:p>
    <w:p w14:paraId="41F9F9E7" w14:textId="0F8C7BF3" w:rsidR="00003BF6" w:rsidRDefault="00003BF6" w:rsidP="00150803">
      <w:pPr>
        <w:pStyle w:val="BodyText"/>
        <w:spacing w:before="120"/>
        <w:jc w:val="left"/>
      </w:pPr>
      <w:r>
        <w:t xml:space="preserve">During </w:t>
      </w:r>
      <w:r w:rsidRPr="00B40A00">
        <w:t>RAN</w:t>
      </w:r>
      <w:r w:rsidR="00B40A00">
        <w:t>3</w:t>
      </w:r>
      <w:r w:rsidRPr="00B40A00">
        <w:t>#118</w:t>
      </w:r>
      <w:r>
        <w:t>, the following agreement was made, agreeing to this principle:</w:t>
      </w:r>
    </w:p>
    <w:p w14:paraId="0F6D1857" w14:textId="7D1051DB" w:rsidR="00003BF6" w:rsidRPr="006B32BE" w:rsidRDefault="00003BF6" w:rsidP="006B32BE">
      <w:pPr>
        <w:pStyle w:val="BodyText"/>
        <w:numPr>
          <w:ilvl w:val="0"/>
          <w:numId w:val="16"/>
        </w:numPr>
        <w:pBdr>
          <w:top w:val="single" w:sz="4" w:space="1" w:color="auto"/>
          <w:left w:val="single" w:sz="4" w:space="4" w:color="auto"/>
          <w:bottom w:val="single" w:sz="4" w:space="1" w:color="auto"/>
          <w:right w:val="single" w:sz="4" w:space="4" w:color="auto"/>
        </w:pBdr>
        <w:spacing w:before="120"/>
        <w:jc w:val="left"/>
        <w:rPr>
          <w:color w:val="00B050"/>
        </w:rPr>
      </w:pPr>
      <w:r w:rsidRPr="006B32BE">
        <w:rPr>
          <w:color w:val="00B050"/>
        </w:rPr>
        <w:t xml:space="preserve">For SN-initiated classic </w:t>
      </w:r>
      <w:proofErr w:type="spellStart"/>
      <w:r w:rsidRPr="006B32BE">
        <w:rPr>
          <w:color w:val="00B050"/>
        </w:rPr>
        <w:t>PScell</w:t>
      </w:r>
      <w:proofErr w:type="spellEnd"/>
      <w:r w:rsidRPr="006B32BE">
        <w:rPr>
          <w:color w:val="00B050"/>
        </w:rPr>
        <w:t xml:space="preserve"> change the source SN node decides the T310/T312 triggers (</w:t>
      </w:r>
      <w:proofErr w:type="spellStart"/>
      <w:r w:rsidRPr="006B32BE">
        <w:rPr>
          <w:color w:val="00B050"/>
        </w:rPr>
        <w:t>e.g</w:t>
      </w:r>
      <w:proofErr w:type="spellEnd"/>
      <w:r w:rsidRPr="006B32BE">
        <w:rPr>
          <w:color w:val="00B050"/>
        </w:rPr>
        <w:t xml:space="preserve"> timer threshold) and the target SN node decides the T304 triggers (</w:t>
      </w:r>
      <w:proofErr w:type="spellStart"/>
      <w:r w:rsidRPr="006B32BE">
        <w:rPr>
          <w:color w:val="00B050"/>
        </w:rPr>
        <w:t>e.g</w:t>
      </w:r>
      <w:proofErr w:type="spellEnd"/>
      <w:r w:rsidRPr="006B32BE">
        <w:rPr>
          <w:color w:val="00B050"/>
        </w:rPr>
        <w:t xml:space="preserve"> timer threshold).</w:t>
      </w:r>
    </w:p>
    <w:p w14:paraId="16427C2E" w14:textId="7EA1AF4F" w:rsidR="009A0794" w:rsidRDefault="009A0794" w:rsidP="009A0794">
      <w:pPr>
        <w:pStyle w:val="BodyText"/>
        <w:spacing w:before="120"/>
        <w:jc w:val="left"/>
      </w:pPr>
      <w:r>
        <w:t xml:space="preserve">During </w:t>
      </w:r>
      <w:r w:rsidRPr="00B40A00">
        <w:t>RAN</w:t>
      </w:r>
      <w:r w:rsidR="00B40A00" w:rsidRPr="00B40A00">
        <w:t>3</w:t>
      </w:r>
      <w:r w:rsidRPr="00B40A00">
        <w:t>#119</w:t>
      </w:r>
      <w:r>
        <w:t>, the following agreement was made:</w:t>
      </w:r>
    </w:p>
    <w:p w14:paraId="56AEBCA5" w14:textId="2118A2A7" w:rsidR="009A0794" w:rsidRPr="006B32BE" w:rsidRDefault="009A0794" w:rsidP="006B32BE">
      <w:pPr>
        <w:pStyle w:val="BodyText"/>
        <w:numPr>
          <w:ilvl w:val="0"/>
          <w:numId w:val="15"/>
        </w:numPr>
        <w:pBdr>
          <w:top w:val="single" w:sz="4" w:space="1" w:color="auto"/>
          <w:left w:val="single" w:sz="4" w:space="4" w:color="auto"/>
          <w:bottom w:val="single" w:sz="4" w:space="1" w:color="auto"/>
          <w:right w:val="single" w:sz="4" w:space="4" w:color="auto"/>
        </w:pBdr>
        <w:spacing w:before="120"/>
        <w:jc w:val="left"/>
        <w:rPr>
          <w:color w:val="00B050"/>
        </w:rPr>
      </w:pPr>
      <w:r w:rsidRPr="006B32BE">
        <w:rPr>
          <w:color w:val="00B050"/>
        </w:rPr>
        <w:t xml:space="preserve">For classic addition/CPA, SN- and MN-initiated classic </w:t>
      </w:r>
      <w:proofErr w:type="spellStart"/>
      <w:r w:rsidRPr="006B32BE">
        <w:rPr>
          <w:color w:val="00B050"/>
        </w:rPr>
        <w:t>PSCell</w:t>
      </w:r>
      <w:proofErr w:type="spellEnd"/>
      <w:r w:rsidRPr="006B32BE">
        <w:rPr>
          <w:color w:val="00B050"/>
        </w:rPr>
        <w:t xml:space="preserve"> change/CPC, the target SN node decides the T304 trigger and performs root cause analysis.</w:t>
      </w:r>
    </w:p>
    <w:p w14:paraId="4AD4B811" w14:textId="7E9C771C" w:rsidR="00963B04" w:rsidRDefault="009A0794" w:rsidP="00150803">
      <w:pPr>
        <w:pStyle w:val="BodyText"/>
        <w:spacing w:before="120"/>
        <w:jc w:val="left"/>
      </w:pPr>
      <w:r>
        <w:t xml:space="preserve">This leaves us with T310 and T312 </w:t>
      </w:r>
      <w:r w:rsidR="00B644D3">
        <w:t xml:space="preserve">for </w:t>
      </w:r>
      <w:r>
        <w:t xml:space="preserve">MN-initiated </w:t>
      </w:r>
      <w:proofErr w:type="spellStart"/>
      <w:r>
        <w:t>PSCell</w:t>
      </w:r>
      <w:proofErr w:type="spellEnd"/>
      <w:r>
        <w:t xml:space="preserve"> change. </w:t>
      </w:r>
      <w:r w:rsidR="00963B04">
        <w:t>Also d</w:t>
      </w:r>
      <w:r w:rsidR="004D741D">
        <w:t>uring RAN</w:t>
      </w:r>
      <w:r w:rsidR="00B40A00">
        <w:t>3</w:t>
      </w:r>
      <w:r w:rsidR="004D741D">
        <w:t xml:space="preserve">#119, the following </w:t>
      </w:r>
      <w:r w:rsidR="00963B04">
        <w:t>was agreed:</w:t>
      </w:r>
    </w:p>
    <w:p w14:paraId="1FE9058D" w14:textId="77777777" w:rsidR="00963B04" w:rsidRPr="006B32BE" w:rsidRDefault="00963B04" w:rsidP="006B32BE">
      <w:pPr>
        <w:pStyle w:val="BodyText"/>
        <w:numPr>
          <w:ilvl w:val="0"/>
          <w:numId w:val="14"/>
        </w:numPr>
        <w:pBdr>
          <w:top w:val="single" w:sz="4" w:space="1" w:color="auto"/>
          <w:left w:val="single" w:sz="4" w:space="4" w:color="auto"/>
          <w:bottom w:val="single" w:sz="4" w:space="1" w:color="auto"/>
          <w:right w:val="single" w:sz="4" w:space="4" w:color="auto"/>
        </w:pBdr>
        <w:spacing w:before="120"/>
        <w:jc w:val="left"/>
        <w:rPr>
          <w:color w:val="00B050"/>
        </w:rPr>
      </w:pPr>
      <w:r w:rsidRPr="006B32BE">
        <w:rPr>
          <w:color w:val="00B050"/>
        </w:rPr>
        <w:t xml:space="preserve">If the trigger is T312/310, the objective of SPR is to optimize lower layer issues of source </w:t>
      </w:r>
      <w:proofErr w:type="spellStart"/>
      <w:r w:rsidRPr="006B32BE">
        <w:rPr>
          <w:color w:val="00B050"/>
        </w:rPr>
        <w:t>PSCell</w:t>
      </w:r>
      <w:proofErr w:type="spellEnd"/>
      <w:r w:rsidRPr="006B32BE">
        <w:rPr>
          <w:color w:val="00B050"/>
        </w:rPr>
        <w:t xml:space="preserve"> and to optimize </w:t>
      </w:r>
      <w:proofErr w:type="spellStart"/>
      <w:r w:rsidRPr="006B32BE">
        <w:rPr>
          <w:color w:val="00B050"/>
        </w:rPr>
        <w:t>PSCell</w:t>
      </w:r>
      <w:proofErr w:type="spellEnd"/>
      <w:r w:rsidRPr="006B32BE">
        <w:rPr>
          <w:color w:val="00B050"/>
        </w:rPr>
        <w:t xml:space="preserve"> change configuration during mobility</w:t>
      </w:r>
    </w:p>
    <w:p w14:paraId="5ED46FA5" w14:textId="7E2D8761" w:rsidR="00963B04" w:rsidRPr="006B32BE" w:rsidRDefault="00963B04" w:rsidP="006B32BE">
      <w:pPr>
        <w:pStyle w:val="BodyText"/>
        <w:numPr>
          <w:ilvl w:val="0"/>
          <w:numId w:val="14"/>
        </w:numPr>
        <w:pBdr>
          <w:top w:val="single" w:sz="4" w:space="1" w:color="auto"/>
          <w:left w:val="single" w:sz="4" w:space="4" w:color="auto"/>
          <w:bottom w:val="single" w:sz="4" w:space="1" w:color="auto"/>
          <w:right w:val="single" w:sz="4" w:space="4" w:color="auto"/>
        </w:pBdr>
        <w:spacing w:before="120"/>
        <w:jc w:val="left"/>
        <w:rPr>
          <w:color w:val="00B050"/>
        </w:rPr>
      </w:pPr>
      <w:r w:rsidRPr="006B32BE">
        <w:rPr>
          <w:color w:val="00B050"/>
        </w:rPr>
        <w:t xml:space="preserve">If the trigger is T312/310, for MN-initiated classic </w:t>
      </w:r>
      <w:proofErr w:type="spellStart"/>
      <w:r w:rsidRPr="006B32BE">
        <w:rPr>
          <w:color w:val="00B050"/>
        </w:rPr>
        <w:t>PSCell</w:t>
      </w:r>
      <w:proofErr w:type="spellEnd"/>
      <w:r w:rsidRPr="006B32BE">
        <w:rPr>
          <w:color w:val="00B050"/>
        </w:rPr>
        <w:t xml:space="preserve"> change/CPC, at least the MN who sent the SPR configuration to the UE is involved in SPR related optimizations</w:t>
      </w:r>
    </w:p>
    <w:p w14:paraId="03567BCB" w14:textId="35138EE8" w:rsidR="00003BF6" w:rsidRDefault="00963B04" w:rsidP="00150803">
      <w:pPr>
        <w:pStyle w:val="BodyText"/>
        <w:spacing w:before="120"/>
        <w:jc w:val="left"/>
      </w:pPr>
      <w:r>
        <w:t xml:space="preserve">During </w:t>
      </w:r>
      <w:r w:rsidR="00F156D6">
        <w:t>RAN3</w:t>
      </w:r>
      <w:r>
        <w:t xml:space="preserve">#119, the following </w:t>
      </w:r>
      <w:r w:rsidR="004D741D">
        <w:t>item for study was defined:</w:t>
      </w:r>
    </w:p>
    <w:tbl>
      <w:tblPr>
        <w:tblStyle w:val="TableGrid"/>
        <w:tblW w:w="0" w:type="auto"/>
        <w:tblInd w:w="567" w:type="dxa"/>
        <w:tblLook w:val="04A0" w:firstRow="1" w:lastRow="0" w:firstColumn="1" w:lastColumn="0" w:noHBand="0" w:noVBand="1"/>
      </w:tblPr>
      <w:tblGrid>
        <w:gridCol w:w="9395"/>
      </w:tblGrid>
      <w:tr w:rsidR="00E31EEE" w14:paraId="2FC1A975" w14:textId="77777777" w:rsidTr="006B32BE">
        <w:tc>
          <w:tcPr>
            <w:tcW w:w="9962" w:type="dxa"/>
          </w:tcPr>
          <w:p w14:paraId="551CC136" w14:textId="77777777" w:rsidR="00E31EEE" w:rsidRPr="008D530C" w:rsidRDefault="00E31EEE" w:rsidP="006B32BE">
            <w:pPr>
              <w:pStyle w:val="BodyText"/>
              <w:numPr>
                <w:ilvl w:val="0"/>
                <w:numId w:val="17"/>
              </w:numPr>
              <w:spacing w:before="120"/>
              <w:jc w:val="left"/>
              <w:rPr>
                <w:color w:val="0070C0"/>
              </w:rPr>
            </w:pPr>
            <w:r w:rsidRPr="008D530C">
              <w:rPr>
                <w:color w:val="0070C0"/>
              </w:rPr>
              <w:t>FFS Which Node decides the triggers and which node performs root cause?</w:t>
            </w:r>
          </w:p>
          <w:p w14:paraId="4B2D0F6E" w14:textId="77777777" w:rsidR="00E31EEE" w:rsidRPr="008D530C" w:rsidRDefault="00E31EEE" w:rsidP="00E31EEE">
            <w:pPr>
              <w:pStyle w:val="BodyText"/>
              <w:numPr>
                <w:ilvl w:val="0"/>
                <w:numId w:val="13"/>
              </w:numPr>
              <w:spacing w:before="120"/>
              <w:ind w:left="1080"/>
              <w:jc w:val="left"/>
              <w:rPr>
                <w:color w:val="0070C0"/>
              </w:rPr>
            </w:pPr>
            <w:r w:rsidRPr="008D530C">
              <w:rPr>
                <w:color w:val="0070C0"/>
              </w:rPr>
              <w:t xml:space="preserve">Option 1: For MN-initiated classic </w:t>
            </w:r>
            <w:proofErr w:type="spellStart"/>
            <w:r w:rsidRPr="008D530C">
              <w:rPr>
                <w:color w:val="0070C0"/>
              </w:rPr>
              <w:t>PScell</w:t>
            </w:r>
            <w:proofErr w:type="spellEnd"/>
            <w:r w:rsidRPr="008D530C">
              <w:rPr>
                <w:color w:val="0070C0"/>
              </w:rPr>
              <w:t xml:space="preserve"> change /CPC, the MN node decides the T310/T312 triggers and performs root cause analysis</w:t>
            </w:r>
          </w:p>
          <w:p w14:paraId="1AB5CE7F" w14:textId="77777777" w:rsidR="00E31EEE" w:rsidRPr="008D530C" w:rsidRDefault="00E31EEE" w:rsidP="00E31EEE">
            <w:pPr>
              <w:pStyle w:val="BodyText"/>
              <w:numPr>
                <w:ilvl w:val="0"/>
                <w:numId w:val="13"/>
              </w:numPr>
              <w:spacing w:before="120"/>
              <w:ind w:left="1080"/>
              <w:jc w:val="left"/>
              <w:rPr>
                <w:color w:val="0070C0"/>
              </w:rPr>
            </w:pPr>
            <w:r w:rsidRPr="008D530C">
              <w:rPr>
                <w:rFonts w:hint="eastAsia"/>
                <w:color w:val="0070C0"/>
              </w:rPr>
              <w:t>Option 2</w:t>
            </w:r>
            <w:r w:rsidRPr="008D530C">
              <w:rPr>
                <w:rFonts w:ascii="MS Gothic" w:eastAsia="MS Gothic" w:hAnsi="MS Gothic" w:cs="MS Gothic" w:hint="eastAsia"/>
                <w:color w:val="0070C0"/>
              </w:rPr>
              <w:t>：</w:t>
            </w:r>
            <w:r w:rsidRPr="008D530C">
              <w:rPr>
                <w:rFonts w:hint="eastAsia"/>
                <w:color w:val="0070C0"/>
              </w:rPr>
              <w:t xml:space="preserve">For MN-initiated classic </w:t>
            </w:r>
            <w:proofErr w:type="spellStart"/>
            <w:r w:rsidRPr="008D530C">
              <w:rPr>
                <w:rFonts w:hint="eastAsia"/>
                <w:color w:val="0070C0"/>
              </w:rPr>
              <w:t>PScell</w:t>
            </w:r>
            <w:proofErr w:type="spellEnd"/>
            <w:r w:rsidRPr="008D530C">
              <w:rPr>
                <w:rFonts w:hint="eastAsia"/>
                <w:color w:val="0070C0"/>
              </w:rPr>
              <w:t xml:space="preserve"> change /CPC, the source SN node decides the T310/T312 triggers and performs root cause analysis</w:t>
            </w:r>
          </w:p>
          <w:p w14:paraId="2FF04632" w14:textId="2A94286C" w:rsidR="00E31EEE" w:rsidRPr="006B32BE" w:rsidRDefault="00E31EEE" w:rsidP="006B32BE">
            <w:pPr>
              <w:pStyle w:val="BodyText"/>
              <w:numPr>
                <w:ilvl w:val="0"/>
                <w:numId w:val="13"/>
              </w:numPr>
              <w:spacing w:before="120"/>
              <w:ind w:left="1080"/>
              <w:jc w:val="left"/>
              <w:rPr>
                <w:color w:val="0070C0"/>
              </w:rPr>
            </w:pPr>
            <w:r w:rsidRPr="008D530C">
              <w:rPr>
                <w:rFonts w:hint="eastAsia"/>
                <w:color w:val="0070C0"/>
              </w:rPr>
              <w:t>Option 3</w:t>
            </w:r>
            <w:r w:rsidRPr="008D530C">
              <w:rPr>
                <w:rFonts w:ascii="MS Gothic" w:eastAsia="MS Gothic" w:hAnsi="MS Gothic" w:cs="MS Gothic" w:hint="eastAsia"/>
                <w:color w:val="0070C0"/>
              </w:rPr>
              <w:t>：</w:t>
            </w:r>
            <w:r w:rsidRPr="008D530C">
              <w:rPr>
                <w:rFonts w:hint="eastAsia"/>
                <w:color w:val="0070C0"/>
              </w:rPr>
              <w:t xml:space="preserve">For MN-initiated classic </w:t>
            </w:r>
            <w:proofErr w:type="spellStart"/>
            <w:r w:rsidRPr="008D530C">
              <w:rPr>
                <w:rFonts w:hint="eastAsia"/>
                <w:color w:val="0070C0"/>
              </w:rPr>
              <w:t>PScell</w:t>
            </w:r>
            <w:proofErr w:type="spellEnd"/>
            <w:r w:rsidRPr="008D530C">
              <w:rPr>
                <w:rFonts w:hint="eastAsia"/>
                <w:color w:val="0070C0"/>
              </w:rPr>
              <w:t xml:space="preserve"> change /CPC, the MN node decides the T310/T312 triggers based on source SN inputs and performs root cause analysis</w:t>
            </w:r>
          </w:p>
        </w:tc>
      </w:tr>
    </w:tbl>
    <w:p w14:paraId="0E438C49" w14:textId="06ED0908" w:rsidR="00E31EEE" w:rsidRDefault="00E31EEE" w:rsidP="00150803">
      <w:pPr>
        <w:pStyle w:val="BodyText"/>
        <w:spacing w:before="120"/>
        <w:jc w:val="left"/>
      </w:pPr>
    </w:p>
    <w:p w14:paraId="07BFCCA8" w14:textId="24B442E8" w:rsidR="00F9169A" w:rsidRDefault="00692475" w:rsidP="006B32BE">
      <w:r>
        <w:lastRenderedPageBreak/>
        <w:t xml:space="preserve">As a SPR is generated due to a successful, but almost failed, </w:t>
      </w:r>
      <w:r w:rsidR="00B63E7F">
        <w:t>MN</w:t>
      </w:r>
      <w:r w:rsidR="00857873">
        <w:t>-</w:t>
      </w:r>
      <w:r w:rsidR="00B63E7F">
        <w:t xml:space="preserve">initiated </w:t>
      </w:r>
      <w:proofErr w:type="spellStart"/>
      <w:r>
        <w:t>PSCell</w:t>
      </w:r>
      <w:proofErr w:type="spellEnd"/>
      <w:r>
        <w:t xml:space="preserve"> change, </w:t>
      </w:r>
      <w:r w:rsidR="00B63E7F">
        <w:t>the MN</w:t>
      </w:r>
      <w:r>
        <w:t xml:space="preserve"> need</w:t>
      </w:r>
      <w:r w:rsidR="00B63E7F">
        <w:t>s</w:t>
      </w:r>
      <w:r>
        <w:t xml:space="preserve"> to consider what was the reason for this almost-failure. </w:t>
      </w:r>
      <w:r w:rsidR="00643CD9">
        <w:t>One t</w:t>
      </w:r>
      <w:r>
        <w:t xml:space="preserve">ypical reason </w:t>
      </w:r>
      <w:r w:rsidR="00643CD9">
        <w:t>could be</w:t>
      </w:r>
      <w:r>
        <w:t xml:space="preserve"> too early </w:t>
      </w:r>
      <w:proofErr w:type="spellStart"/>
      <w:r>
        <w:t>PSCell</w:t>
      </w:r>
      <w:proofErr w:type="spellEnd"/>
      <w:r>
        <w:t xml:space="preserve"> change. </w:t>
      </w:r>
      <w:r w:rsidR="00643CD9">
        <w:t>T</w:t>
      </w:r>
      <w:r>
        <w:t>he background to th</w:t>
      </w:r>
      <w:r w:rsidR="00A512B0">
        <w:t>is</w:t>
      </w:r>
      <w:r>
        <w:t xml:space="preserve"> decision </w:t>
      </w:r>
      <w:r w:rsidR="00A512B0">
        <w:t>is</w:t>
      </w:r>
      <w:r>
        <w:t xml:space="preserve"> typically incorrect timing when configuring measurements in the UE</w:t>
      </w:r>
      <w:r w:rsidR="00A512B0">
        <w:t xml:space="preserve"> and triggering </w:t>
      </w:r>
      <w:proofErr w:type="spellStart"/>
      <w:r w:rsidR="00A512B0">
        <w:t>PSCell</w:t>
      </w:r>
      <w:proofErr w:type="spellEnd"/>
      <w:r w:rsidR="00A512B0">
        <w:t xml:space="preserve"> change</w:t>
      </w:r>
      <w:r>
        <w:t>. Th</w:t>
      </w:r>
      <w:r w:rsidR="00621F97">
        <w:t xml:space="preserve">e root cause for this </w:t>
      </w:r>
      <w:r>
        <w:t>is what the SPRs should help optimising.</w:t>
      </w:r>
    </w:p>
    <w:p w14:paraId="6B2708C0" w14:textId="04D2D4A2" w:rsidR="00692475" w:rsidRDefault="00B12E9C" w:rsidP="006B32BE">
      <w:r>
        <w:t xml:space="preserve">As </w:t>
      </w:r>
      <w:r w:rsidR="00471C37">
        <w:t xml:space="preserve">the MN has the best knowledge of the history of its initiated </w:t>
      </w:r>
      <w:proofErr w:type="spellStart"/>
      <w:r w:rsidR="00471C37">
        <w:t>PSCell</w:t>
      </w:r>
      <w:proofErr w:type="spellEnd"/>
      <w:r w:rsidR="00471C37">
        <w:t xml:space="preserve"> changes, the MN</w:t>
      </w:r>
      <w:r w:rsidR="00621F97">
        <w:t xml:space="preserve"> has also the best possibility to know when to </w:t>
      </w:r>
      <w:r w:rsidR="00B63E7F">
        <w:t xml:space="preserve">configure </w:t>
      </w:r>
      <w:r w:rsidR="00621F97">
        <w:t xml:space="preserve">source </w:t>
      </w:r>
      <w:r w:rsidR="00B63E7F">
        <w:t xml:space="preserve">SN </w:t>
      </w:r>
      <w:r w:rsidR="00621F97">
        <w:t xml:space="preserve">related SPR triggers, that is, triggers related to T310 and T312. </w:t>
      </w:r>
    </w:p>
    <w:p w14:paraId="65A67FC9" w14:textId="1CC52509" w:rsidR="00621F97" w:rsidRDefault="00621F97" w:rsidP="006B32BE">
      <w:r>
        <w:t xml:space="preserve">Both option 1 and option 3 allows for this, where the difference between them is that in option 3, the MN considers the source SN's T310/T312 timer values. </w:t>
      </w:r>
    </w:p>
    <w:p w14:paraId="522A8DDB" w14:textId="62FDEA29" w:rsidR="00EE386E" w:rsidRDefault="00EE386E" w:rsidP="006B32BE">
      <w:r>
        <w:t xml:space="preserve">The responsibility for configuring the actual timer values in this case lies </w:t>
      </w:r>
      <w:r w:rsidR="00B63E7F">
        <w:t>with</w:t>
      </w:r>
      <w:r>
        <w:t xml:space="preserve"> the source SN, and not the MN. The MN is not able to change these values and </w:t>
      </w:r>
      <w:r w:rsidR="00B63E7F">
        <w:t>need to</w:t>
      </w:r>
      <w:r>
        <w:t xml:space="preserve"> </w:t>
      </w:r>
      <w:r w:rsidR="002C47FE">
        <w:t xml:space="preserve">be satisfied with what the source SN has </w:t>
      </w:r>
      <w:r w:rsidR="00B63E7F">
        <w:t>decided</w:t>
      </w:r>
      <w:r w:rsidR="002C47FE">
        <w:t xml:space="preserve">. Therefore, the </w:t>
      </w:r>
      <w:r w:rsidR="00B63E7F">
        <w:t>MN</w:t>
      </w:r>
      <w:r w:rsidR="002C47FE">
        <w:t xml:space="preserve"> is not helped by knowing the values of these timers when it wants to decide on triggers for SPR.</w:t>
      </w:r>
    </w:p>
    <w:p w14:paraId="7ECDD0A8" w14:textId="2E2E8256" w:rsidR="002C47FE" w:rsidRDefault="00B63E7F" w:rsidP="00824807">
      <w:pPr>
        <w:pStyle w:val="Observation"/>
        <w:jc w:val="left"/>
      </w:pPr>
      <w:r>
        <w:t xml:space="preserve">For optimizing MN initiated </w:t>
      </w:r>
      <w:proofErr w:type="spellStart"/>
      <w:r>
        <w:t>PSCell</w:t>
      </w:r>
      <w:proofErr w:type="spellEnd"/>
      <w:r>
        <w:t xml:space="preserve"> change, the MN is not helped by knowing the values of the source SN T310/T312 timers</w:t>
      </w:r>
    </w:p>
    <w:p w14:paraId="2700D111" w14:textId="77777777" w:rsidR="00B63E7F" w:rsidRDefault="00B63E7F" w:rsidP="006B32BE"/>
    <w:p w14:paraId="06C6624B" w14:textId="52B2FA22" w:rsidR="00F9169A" w:rsidRDefault="00B63E7F" w:rsidP="006B32BE">
      <w:r>
        <w:t>As stated above, the difference between option</w:t>
      </w:r>
      <w:r w:rsidR="00902F36">
        <w:t xml:space="preserve">s </w:t>
      </w:r>
      <w:r>
        <w:t xml:space="preserve">1 and 3 is that in option 3, the MN considers the source SN's T310/T312 timer values. As we have observed above, the MN is not helped with this knowledge. </w:t>
      </w:r>
      <w:r w:rsidR="00824807">
        <w:t xml:space="preserve">Therefore, this would mean added complexity with no advantage. </w:t>
      </w:r>
      <w:r>
        <w:t xml:space="preserve">For these reasons, we propose that </w:t>
      </w:r>
      <w:r w:rsidR="00824807">
        <w:t>R</w:t>
      </w:r>
      <w:r>
        <w:t>AN3 agrees on option 1.</w:t>
      </w:r>
    </w:p>
    <w:p w14:paraId="706BD777" w14:textId="372EF55A" w:rsidR="00B63E7F" w:rsidRDefault="00184241" w:rsidP="00824807">
      <w:pPr>
        <w:pStyle w:val="Proposal"/>
        <w:jc w:val="left"/>
      </w:pPr>
      <w:r w:rsidRPr="00184241">
        <w:t xml:space="preserve">For MN-initiated classic </w:t>
      </w:r>
      <w:proofErr w:type="spellStart"/>
      <w:r w:rsidRPr="00184241">
        <w:t>PScell</w:t>
      </w:r>
      <w:proofErr w:type="spellEnd"/>
      <w:r w:rsidRPr="00184241">
        <w:t xml:space="preserve"> change /CPC, the MN node decides the T310/T312 triggers and performs root cause analysis</w:t>
      </w:r>
    </w:p>
    <w:p w14:paraId="30A50E4E" w14:textId="5A66F467" w:rsidR="00F9169A" w:rsidRDefault="00F9169A" w:rsidP="006B32BE"/>
    <w:p w14:paraId="3ABAEAEF" w14:textId="742717E4" w:rsidR="00824807" w:rsidRDefault="00824807" w:rsidP="006B32BE">
      <w:r>
        <w:t xml:space="preserve">The MN configures triggers for SPR generation to the UE, much like a source node configures triggers for SHR. In the case of SHR, the triggers consist of a percentage of the total timer value. It would be easy to copy this behaviour to SPR without thought. However, in the case of SPR and option 1, there is a difference in that </w:t>
      </w:r>
      <w:r w:rsidR="00EC48A6">
        <w:t xml:space="preserve">the MN does not know the values of the timers. Configuring a percentage here is therefore less </w:t>
      </w:r>
      <w:r w:rsidR="00D50109">
        <w:t>relevant, as the MN does not know what this percentage is based on.</w:t>
      </w:r>
    </w:p>
    <w:p w14:paraId="1ACC69B6" w14:textId="7F157153" w:rsidR="00D50109" w:rsidRPr="00F9169A" w:rsidRDefault="00D50109" w:rsidP="005A05E5">
      <w:pPr>
        <w:pStyle w:val="Observation"/>
        <w:jc w:val="left"/>
      </w:pPr>
      <w:r>
        <w:t>For configuring T31/T312 triggers, the MN does not know the timer values it will base its triggers on</w:t>
      </w:r>
    </w:p>
    <w:p w14:paraId="7E64A760" w14:textId="05905F9A" w:rsidR="007E590D" w:rsidRDefault="007E590D" w:rsidP="006B32BE"/>
    <w:p w14:paraId="0EB05BA9" w14:textId="07FE87AA" w:rsidR="00D50109" w:rsidRDefault="001721F6" w:rsidP="006B32BE">
      <w:r>
        <w:t xml:space="preserve">A more relevant solution would be to define the T310/T312 SPR triggers as </w:t>
      </w:r>
      <w:proofErr w:type="spellStart"/>
      <w:r>
        <w:t>boolean</w:t>
      </w:r>
      <w:proofErr w:type="spellEnd"/>
      <w:r>
        <w:t xml:space="preserve"> value(s). Here, the MN decides only whether it wants a SPR for an almost-failed </w:t>
      </w:r>
      <w:proofErr w:type="spellStart"/>
      <w:r>
        <w:t>PSCell</w:t>
      </w:r>
      <w:proofErr w:type="spellEnd"/>
      <w:r>
        <w:t xml:space="preserve"> change or not. It does not need to guess on a percentage, for a value it does not know and cannot influence.</w:t>
      </w:r>
    </w:p>
    <w:p w14:paraId="4AA745A5" w14:textId="47C680FC" w:rsidR="001721F6" w:rsidRDefault="00E73B46" w:rsidP="001721F6">
      <w:pPr>
        <w:pStyle w:val="Proposal"/>
        <w:jc w:val="left"/>
      </w:pPr>
      <w:r>
        <w:t>D</w:t>
      </w:r>
      <w:r w:rsidR="001721F6">
        <w:t xml:space="preserve">efine the </w:t>
      </w:r>
      <w:r>
        <w:t>T310/T31</w:t>
      </w:r>
      <w:r w:rsidR="007E693D">
        <w:t xml:space="preserve">2 </w:t>
      </w:r>
      <w:r w:rsidR="001721F6">
        <w:t>trigger</w:t>
      </w:r>
      <w:r w:rsidR="007E693D">
        <w:t>s</w:t>
      </w:r>
      <w:r w:rsidR="001721F6">
        <w:t xml:space="preserve"> as a </w:t>
      </w:r>
      <w:proofErr w:type="spellStart"/>
      <w:r w:rsidR="001721F6">
        <w:t>boolean</w:t>
      </w:r>
      <w:proofErr w:type="spellEnd"/>
      <w:r w:rsidR="001721F6">
        <w:t xml:space="preserve"> value</w:t>
      </w:r>
      <w:r w:rsidR="007E693D">
        <w:t>s</w:t>
      </w:r>
    </w:p>
    <w:p w14:paraId="36114E26" w14:textId="77777777" w:rsidR="00FA55C6" w:rsidRDefault="00FA55C6" w:rsidP="00D7646A">
      <w:pPr>
        <w:pStyle w:val="BodyText"/>
        <w:spacing w:before="120"/>
      </w:pPr>
    </w:p>
    <w:p w14:paraId="4FC5C9E3" w14:textId="3709C645" w:rsidR="00D12F9C" w:rsidRDefault="001C29D9" w:rsidP="00B80D63">
      <w:pPr>
        <w:pStyle w:val="Heading2"/>
      </w:pPr>
      <w:r>
        <w:t>2.2</w:t>
      </w:r>
      <w:r w:rsidR="002864DB">
        <w:tab/>
      </w:r>
      <w:r w:rsidR="00B80D63">
        <w:t xml:space="preserve">Fetching </w:t>
      </w:r>
      <w:r w:rsidR="000824C0">
        <w:t xml:space="preserve">and forwarding of </w:t>
      </w:r>
      <w:r w:rsidR="00B80D63">
        <w:t>the SPR</w:t>
      </w:r>
      <w:r w:rsidR="00DD402A">
        <w:t xml:space="preserve"> </w:t>
      </w:r>
    </w:p>
    <w:p w14:paraId="3674926B" w14:textId="101C0D37" w:rsidR="006C111D" w:rsidRDefault="00B80D63" w:rsidP="00D7646A">
      <w:pPr>
        <w:pStyle w:val="BodyText"/>
        <w:spacing w:before="120"/>
      </w:pPr>
      <w:r>
        <w:t xml:space="preserve">RAN2 agreed </w:t>
      </w:r>
      <w:r w:rsidR="006C111D">
        <w:t xml:space="preserve">during RAN2#120 </w:t>
      </w:r>
      <w:r>
        <w:t xml:space="preserve">that only the MN </w:t>
      </w:r>
      <w:r w:rsidR="00036721">
        <w:t xml:space="preserve">can fetch the SPR. </w:t>
      </w:r>
    </w:p>
    <w:p w14:paraId="77FEAF6D" w14:textId="50F5577C" w:rsidR="006C111D" w:rsidRPr="003C4FDB" w:rsidRDefault="006C111D" w:rsidP="003C4FDB">
      <w:pPr>
        <w:pStyle w:val="BodyText"/>
        <w:pBdr>
          <w:top w:val="single" w:sz="4" w:space="1" w:color="auto"/>
          <w:left w:val="single" w:sz="4" w:space="4" w:color="auto"/>
          <w:bottom w:val="single" w:sz="4" w:space="1" w:color="auto"/>
          <w:right w:val="single" w:sz="4" w:space="4" w:color="auto"/>
        </w:pBdr>
        <w:spacing w:before="120"/>
        <w:ind w:left="720"/>
        <w:rPr>
          <w:color w:val="00B050"/>
        </w:rPr>
      </w:pPr>
      <w:r w:rsidRPr="003C4FDB">
        <w:rPr>
          <w:color w:val="00B050"/>
        </w:rPr>
        <w:t>Only MN can retrieve the SPR from the UE.</w:t>
      </w:r>
    </w:p>
    <w:p w14:paraId="13B27F2A" w14:textId="1A3219BD" w:rsidR="006C111D" w:rsidRDefault="006C111D" w:rsidP="00D7646A">
      <w:pPr>
        <w:pStyle w:val="BodyText"/>
        <w:spacing w:before="120"/>
      </w:pPr>
      <w:r>
        <w:t>Furthermore, in RAN2#121, it was agreed that:</w:t>
      </w:r>
    </w:p>
    <w:p w14:paraId="0F122627" w14:textId="31E985B0" w:rsidR="006C111D" w:rsidRPr="003C4FDB" w:rsidRDefault="006C111D" w:rsidP="003C4FDB">
      <w:pPr>
        <w:pStyle w:val="BodyText"/>
        <w:pBdr>
          <w:top w:val="single" w:sz="4" w:space="1" w:color="auto"/>
          <w:left w:val="single" w:sz="4" w:space="4" w:color="auto"/>
          <w:bottom w:val="single" w:sz="4" w:space="1" w:color="auto"/>
          <w:right w:val="single" w:sz="4" w:space="4" w:color="auto"/>
        </w:pBdr>
        <w:spacing w:before="120"/>
        <w:ind w:left="720"/>
        <w:rPr>
          <w:color w:val="00B050"/>
        </w:rPr>
      </w:pPr>
      <w:r w:rsidRPr="003C4FDB">
        <w:rPr>
          <w:color w:val="00B050"/>
        </w:rPr>
        <w:t xml:space="preserve">UE stores SPR at most 48 hours after the last successful </w:t>
      </w:r>
      <w:proofErr w:type="spellStart"/>
      <w:r w:rsidRPr="003C4FDB">
        <w:rPr>
          <w:color w:val="00B050"/>
        </w:rPr>
        <w:t>PSCell</w:t>
      </w:r>
      <w:proofErr w:type="spellEnd"/>
      <w:r w:rsidRPr="003C4FDB">
        <w:rPr>
          <w:color w:val="00B050"/>
        </w:rPr>
        <w:t xml:space="preserve"> addition/</w:t>
      </w:r>
      <w:proofErr w:type="spellStart"/>
      <w:r w:rsidRPr="003C4FDB">
        <w:rPr>
          <w:color w:val="00B050"/>
        </w:rPr>
        <w:t>PSCell</w:t>
      </w:r>
      <w:proofErr w:type="spellEnd"/>
      <w:r w:rsidRPr="003C4FDB">
        <w:rPr>
          <w:color w:val="00B050"/>
        </w:rPr>
        <w:t xml:space="preserve"> change report is stored at UE if not fetched.</w:t>
      </w:r>
    </w:p>
    <w:p w14:paraId="13C16FE9" w14:textId="06AE64F9" w:rsidR="006C111D" w:rsidRDefault="006C111D" w:rsidP="00D7646A">
      <w:pPr>
        <w:pStyle w:val="BodyText"/>
        <w:spacing w:before="120"/>
      </w:pPr>
      <w:r>
        <w:t xml:space="preserve">As the UE may well go to idle during this time, it is most probable that it will connect to a new node, different from the original MN node which triggered the SPR. For this reason, there is a need for the new </w:t>
      </w:r>
      <w:r w:rsidR="00EE20F1">
        <w:t>node</w:t>
      </w:r>
      <w:r>
        <w:t xml:space="preserve"> to </w:t>
      </w:r>
      <w:r w:rsidR="00E57C38">
        <w:t xml:space="preserve">be able to retrieve the SPR from the UE and </w:t>
      </w:r>
      <w:r>
        <w:t xml:space="preserve">send the SPR to the original MN. </w:t>
      </w:r>
    </w:p>
    <w:p w14:paraId="09810201" w14:textId="36D181F9" w:rsidR="006C111D" w:rsidRDefault="00E57C38" w:rsidP="003C4FDB">
      <w:pPr>
        <w:pStyle w:val="Observation"/>
        <w:jc w:val="left"/>
      </w:pPr>
      <w:r>
        <w:t xml:space="preserve">RAN3 needs to define a way for a new </w:t>
      </w:r>
      <w:r w:rsidR="002961B2">
        <w:t>node</w:t>
      </w:r>
      <w:r>
        <w:t xml:space="preserve"> to forward the SPR to the original MN.</w:t>
      </w:r>
    </w:p>
    <w:p w14:paraId="0C319464" w14:textId="77777777" w:rsidR="006C111D" w:rsidRDefault="006C111D" w:rsidP="00D7646A">
      <w:pPr>
        <w:pStyle w:val="BodyText"/>
        <w:spacing w:before="120"/>
      </w:pPr>
    </w:p>
    <w:p w14:paraId="770E6248" w14:textId="406E32DF" w:rsidR="009F6311" w:rsidRDefault="00DD402A" w:rsidP="00DD402A">
      <w:r>
        <w:t xml:space="preserve">The original MN or the new </w:t>
      </w:r>
      <w:r w:rsidR="002961B2">
        <w:t>node</w:t>
      </w:r>
      <w:r>
        <w:t xml:space="preserve"> </w:t>
      </w:r>
      <w:r w:rsidR="002961B2">
        <w:t xml:space="preserve">can </w:t>
      </w:r>
      <w:r>
        <w:t xml:space="preserve">fetch the SPR. </w:t>
      </w:r>
      <w:r w:rsidR="005A67A8">
        <w:t xml:space="preserve">When the original MN </w:t>
      </w:r>
      <w:r w:rsidR="004F44C7">
        <w:t xml:space="preserve">fetches the SPR, the UE context is still present in both MN and target SN. And may be present in </w:t>
      </w:r>
      <w:r w:rsidR="00D15FAC">
        <w:t>source MN. In that case, a</w:t>
      </w:r>
      <w:r w:rsidR="00960544">
        <w:t xml:space="preserve">n initial analysis will be performed by the MN, which will decide if the SPR is needed in source and/or target SN. This </w:t>
      </w:r>
      <w:r w:rsidR="000232DC">
        <w:t>initial</w:t>
      </w:r>
      <w:r w:rsidR="00960544">
        <w:t xml:space="preserve"> analysis </w:t>
      </w:r>
      <w:r w:rsidR="00BC2764">
        <w:t>function could also be reused if a new node fetches the SPR. Theref</w:t>
      </w:r>
      <w:r w:rsidR="00C34884">
        <w:t xml:space="preserve">ore, it is proposed that the new node forwards the SPR to the </w:t>
      </w:r>
      <w:r w:rsidR="00521D84">
        <w:t xml:space="preserve">original </w:t>
      </w:r>
      <w:r w:rsidR="00C34884">
        <w:t>MN.</w:t>
      </w:r>
    </w:p>
    <w:p w14:paraId="5AECA02B" w14:textId="617F0785" w:rsidR="00A057B8" w:rsidRPr="00930A6E" w:rsidRDefault="00A057B8" w:rsidP="00930A6E">
      <w:pPr>
        <w:pStyle w:val="Proposal"/>
        <w:jc w:val="left"/>
      </w:pPr>
      <w:r w:rsidRPr="00930A6E">
        <w:t>In case the SPR is fetched by a new node (i.e. not initial MN, source/target SN), the new node forwards it to the initial MN</w:t>
      </w:r>
    </w:p>
    <w:p w14:paraId="3BBFB720" w14:textId="77777777" w:rsidR="00521D84" w:rsidRDefault="00521D84" w:rsidP="00DD402A">
      <w:pPr>
        <w:pStyle w:val="BodyText"/>
        <w:spacing w:before="120"/>
        <w:jc w:val="left"/>
      </w:pPr>
    </w:p>
    <w:p w14:paraId="40A4C269" w14:textId="2DFF71DB" w:rsidR="00DD402A" w:rsidRDefault="00DD402A" w:rsidP="00DD402A">
      <w:pPr>
        <w:pStyle w:val="BodyText"/>
        <w:spacing w:before="120"/>
        <w:jc w:val="left"/>
      </w:pPr>
      <w:r>
        <w:t xml:space="preserve">During </w:t>
      </w:r>
      <w:r w:rsidRPr="00B40A00">
        <w:t>RAN3#119</w:t>
      </w:r>
      <w:r>
        <w:t>, the following agreement was made:</w:t>
      </w:r>
    </w:p>
    <w:p w14:paraId="0BC30A25" w14:textId="77777777" w:rsidR="00DD402A" w:rsidRPr="006B32BE" w:rsidRDefault="00DD402A" w:rsidP="00DD402A">
      <w:pPr>
        <w:pStyle w:val="BodyText"/>
        <w:numPr>
          <w:ilvl w:val="0"/>
          <w:numId w:val="15"/>
        </w:numPr>
        <w:pBdr>
          <w:top w:val="single" w:sz="4" w:space="1" w:color="auto"/>
          <w:left w:val="single" w:sz="4" w:space="4" w:color="auto"/>
          <w:bottom w:val="single" w:sz="4" w:space="1" w:color="auto"/>
          <w:right w:val="single" w:sz="4" w:space="4" w:color="auto"/>
        </w:pBdr>
        <w:spacing w:before="120"/>
        <w:jc w:val="left"/>
        <w:rPr>
          <w:color w:val="00B050"/>
        </w:rPr>
      </w:pPr>
      <w:r w:rsidRPr="006B32BE">
        <w:rPr>
          <w:color w:val="00B050"/>
        </w:rPr>
        <w:t xml:space="preserve">For classic addition/CPA, SN- and MN-initiated classic </w:t>
      </w:r>
      <w:proofErr w:type="spellStart"/>
      <w:r w:rsidRPr="006B32BE">
        <w:rPr>
          <w:color w:val="00B050"/>
        </w:rPr>
        <w:t>PSCell</w:t>
      </w:r>
      <w:proofErr w:type="spellEnd"/>
      <w:r w:rsidRPr="006B32BE">
        <w:rPr>
          <w:color w:val="00B050"/>
        </w:rPr>
        <w:t xml:space="preserve"> change/CPC, the target SN node decides the T304 trigger and performs root cause analysis.</w:t>
      </w:r>
    </w:p>
    <w:p w14:paraId="439927F5" w14:textId="34238D6E" w:rsidR="00DD402A" w:rsidRDefault="00564AB3" w:rsidP="00DD402A">
      <w:r>
        <w:t>For</w:t>
      </w:r>
      <w:r w:rsidR="00DD402A">
        <w:t xml:space="preserve"> this case, the SPR was generated due to the target SN timer. As the original MN retrieves the SPR from the UE, or receives the SPR from the new MN, it is the responsibility of the original MN to forward the SPR to the target SN for root cause analysis.</w:t>
      </w:r>
    </w:p>
    <w:p w14:paraId="5848AFDB" w14:textId="6799C549" w:rsidR="00953995" w:rsidRPr="008E6B7C" w:rsidRDefault="00953995" w:rsidP="00564AB3">
      <w:pPr>
        <w:pStyle w:val="Proposal"/>
        <w:jc w:val="left"/>
      </w:pPr>
      <w:r>
        <w:t xml:space="preserve">For MN-initiated </w:t>
      </w:r>
      <w:proofErr w:type="spellStart"/>
      <w:r>
        <w:t>PSCell</w:t>
      </w:r>
      <w:proofErr w:type="spellEnd"/>
      <w:r>
        <w:t xml:space="preserve"> change, w</w:t>
      </w:r>
      <w:r w:rsidRPr="008E6B7C">
        <w:t xml:space="preserve">hen the </w:t>
      </w:r>
      <w:r>
        <w:t>SPR is triggered by T304, the timers are decided by the target SN, and the original MN shall send the SPR to the target SN for root cause analysis.</w:t>
      </w:r>
    </w:p>
    <w:p w14:paraId="118C9848" w14:textId="77777777" w:rsidR="00564AB3" w:rsidRDefault="00564AB3" w:rsidP="003C4FDB">
      <w:pPr>
        <w:pStyle w:val="BodyText"/>
        <w:spacing w:before="120"/>
      </w:pPr>
    </w:p>
    <w:p w14:paraId="0BD0740C" w14:textId="41A55899" w:rsidR="003C4FDB" w:rsidRDefault="003C4FDB" w:rsidP="003C4FDB">
      <w:pPr>
        <w:pStyle w:val="BodyText"/>
        <w:spacing w:before="120"/>
      </w:pPr>
      <w:r>
        <w:t>For</w:t>
      </w:r>
      <w:r w:rsidR="00564AB3">
        <w:t xml:space="preserve"> the</w:t>
      </w:r>
      <w:r>
        <w:t xml:space="preserve"> </w:t>
      </w:r>
      <w:r w:rsidRPr="00564AB3">
        <w:t xml:space="preserve">intra-SN classic </w:t>
      </w:r>
      <w:proofErr w:type="spellStart"/>
      <w:r w:rsidRPr="00564AB3">
        <w:t>PSCell</w:t>
      </w:r>
      <w:proofErr w:type="spellEnd"/>
      <w:r w:rsidRPr="00564AB3">
        <w:t xml:space="preserve"> change/CPC use case</w:t>
      </w:r>
      <w:r>
        <w:t xml:space="preserve">, the source and target are the same node and all timers (T310, T312 and T304) are decided by that node. The </w:t>
      </w:r>
      <w:r w:rsidR="00E80DF2">
        <w:t xml:space="preserve">original </w:t>
      </w:r>
      <w:r>
        <w:t>MN shall send the SPR to this SN.</w:t>
      </w:r>
    </w:p>
    <w:p w14:paraId="5700979F" w14:textId="4624C0F7" w:rsidR="003C4FDB" w:rsidRDefault="003C4FDB" w:rsidP="00564AB3">
      <w:pPr>
        <w:pStyle w:val="Proposal"/>
        <w:jc w:val="left"/>
      </w:pPr>
      <w:r>
        <w:t xml:space="preserve">For the </w:t>
      </w:r>
      <w:r w:rsidRPr="008E6B7C">
        <w:t xml:space="preserve">intra-SN classic </w:t>
      </w:r>
      <w:proofErr w:type="spellStart"/>
      <w:r w:rsidRPr="008E6B7C">
        <w:t>PSCell</w:t>
      </w:r>
      <w:proofErr w:type="spellEnd"/>
      <w:r w:rsidRPr="008E6B7C">
        <w:t xml:space="preserve"> change/CPC use case</w:t>
      </w:r>
      <w:r>
        <w:t xml:space="preserve">, the </w:t>
      </w:r>
      <w:r w:rsidR="00E80DF2">
        <w:t xml:space="preserve">original </w:t>
      </w:r>
      <w:r>
        <w:t>MN shall send the SPR to the source</w:t>
      </w:r>
      <w:r w:rsidR="00A3651D">
        <w:t xml:space="preserve"> </w:t>
      </w:r>
      <w:r>
        <w:t>and</w:t>
      </w:r>
      <w:r w:rsidR="003B1B26">
        <w:t xml:space="preserve"> </w:t>
      </w:r>
      <w:r>
        <w:t>target SN</w:t>
      </w:r>
    </w:p>
    <w:p w14:paraId="29C14AC5" w14:textId="77777777" w:rsidR="003C4FDB" w:rsidRPr="00DD402A" w:rsidRDefault="003C4FDB" w:rsidP="00564AB3"/>
    <w:p w14:paraId="305DA0BC" w14:textId="1C8ADA17" w:rsidR="007B72F3" w:rsidRDefault="007B72F3" w:rsidP="007B72F3">
      <w:pPr>
        <w:pStyle w:val="Heading2"/>
      </w:pPr>
      <w:r>
        <w:t>2.</w:t>
      </w:r>
      <w:r w:rsidR="008D1430">
        <w:t>3</w:t>
      </w:r>
      <w:r w:rsidR="002864DB">
        <w:tab/>
      </w:r>
      <w:r>
        <w:t>Content of the SPR</w:t>
      </w:r>
    </w:p>
    <w:p w14:paraId="5AA212EA" w14:textId="38D3A11F" w:rsidR="007B72F3" w:rsidRDefault="007B72F3" w:rsidP="007B72F3">
      <w:r>
        <w:t xml:space="preserve">The following </w:t>
      </w:r>
      <w:r w:rsidR="00473501">
        <w:t>RAN3 agreement was taken during previous meetings:</w:t>
      </w:r>
    </w:p>
    <w:p w14:paraId="687AFF01" w14:textId="77777777" w:rsidR="00473501" w:rsidRPr="00A8115C" w:rsidRDefault="00473501" w:rsidP="00473501">
      <w:pPr>
        <w:pStyle w:val="ListParagraph3"/>
        <w:widowControl w:val="0"/>
        <w:spacing w:before="120" w:after="100" w:afterAutospacing="1" w:line="280" w:lineRule="atLeast"/>
        <w:ind w:left="0"/>
        <w:jc w:val="both"/>
        <w:rPr>
          <w:rFonts w:ascii="Calibri" w:hAnsi="Calibri" w:cs="Calibri"/>
          <w:i/>
          <w:iCs/>
          <w:color w:val="00B050"/>
          <w:kern w:val="2"/>
          <w:sz w:val="16"/>
          <w:szCs w:val="16"/>
        </w:rPr>
      </w:pPr>
      <w:r w:rsidRPr="00A8115C">
        <w:rPr>
          <w:rFonts w:ascii="Calibri" w:hAnsi="Calibri" w:cs="Calibri"/>
          <w:i/>
          <w:iCs/>
          <w:color w:val="00B050"/>
          <w:kern w:val="2"/>
          <w:sz w:val="16"/>
          <w:szCs w:val="16"/>
        </w:rPr>
        <w:t>The following information can be included as part of SPCR (parallel discussion happening in RAN2 as well, no need to LS RAN2 if already agreed in RAN2)</w:t>
      </w:r>
    </w:p>
    <w:p w14:paraId="5195C153"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a.</w:t>
      </w:r>
      <w:r w:rsidRPr="00A8115C">
        <w:rPr>
          <w:rFonts w:ascii="Calibri" w:hAnsi="Calibri" w:cs="Calibri"/>
          <w:i/>
          <w:iCs/>
          <w:color w:val="00B050"/>
          <w:kern w:val="2"/>
          <w:sz w:val="16"/>
          <w:szCs w:val="16"/>
        </w:rPr>
        <w:tab/>
        <w:t xml:space="preserve">Source </w:t>
      </w:r>
      <w:proofErr w:type="spellStart"/>
      <w:r w:rsidRPr="00A8115C">
        <w:rPr>
          <w:rFonts w:ascii="Calibri" w:hAnsi="Calibri" w:cs="Calibri"/>
          <w:i/>
          <w:iCs/>
          <w:color w:val="00B050"/>
          <w:kern w:val="2"/>
          <w:sz w:val="16"/>
          <w:szCs w:val="16"/>
        </w:rPr>
        <w:t>PSCell</w:t>
      </w:r>
      <w:proofErr w:type="spellEnd"/>
      <w:r w:rsidRPr="00A8115C">
        <w:rPr>
          <w:rFonts w:ascii="Calibri" w:hAnsi="Calibri" w:cs="Calibri"/>
          <w:i/>
          <w:iCs/>
          <w:color w:val="00B050"/>
          <w:kern w:val="2"/>
          <w:sz w:val="16"/>
          <w:szCs w:val="16"/>
        </w:rPr>
        <w:t xml:space="preserve"> information, in case of </w:t>
      </w:r>
      <w:proofErr w:type="spellStart"/>
      <w:r w:rsidRPr="00A8115C">
        <w:rPr>
          <w:rFonts w:ascii="Calibri" w:hAnsi="Calibri" w:cs="Calibri"/>
          <w:i/>
          <w:iCs/>
          <w:color w:val="00B050"/>
          <w:kern w:val="2"/>
          <w:sz w:val="16"/>
          <w:szCs w:val="16"/>
        </w:rPr>
        <w:t>PSCell</w:t>
      </w:r>
      <w:proofErr w:type="spellEnd"/>
      <w:r w:rsidRPr="00A8115C">
        <w:rPr>
          <w:rFonts w:ascii="Calibri" w:hAnsi="Calibri" w:cs="Calibri"/>
          <w:i/>
          <w:iCs/>
          <w:color w:val="00B050"/>
          <w:kern w:val="2"/>
          <w:sz w:val="16"/>
          <w:szCs w:val="16"/>
        </w:rPr>
        <w:t xml:space="preserve"> change/CPC</w:t>
      </w:r>
    </w:p>
    <w:p w14:paraId="79265F92"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b.</w:t>
      </w:r>
      <w:r w:rsidRPr="00A8115C">
        <w:rPr>
          <w:rFonts w:ascii="Calibri" w:hAnsi="Calibri" w:cs="Calibri"/>
          <w:i/>
          <w:iCs/>
          <w:color w:val="00B050"/>
          <w:kern w:val="2"/>
          <w:sz w:val="16"/>
          <w:szCs w:val="16"/>
        </w:rPr>
        <w:tab/>
        <w:t xml:space="preserve">Target </w:t>
      </w:r>
      <w:proofErr w:type="spellStart"/>
      <w:r w:rsidRPr="00A8115C">
        <w:rPr>
          <w:rFonts w:ascii="Calibri" w:hAnsi="Calibri" w:cs="Calibri"/>
          <w:i/>
          <w:iCs/>
          <w:color w:val="00B050"/>
          <w:kern w:val="2"/>
          <w:sz w:val="16"/>
          <w:szCs w:val="16"/>
        </w:rPr>
        <w:t>PSCell</w:t>
      </w:r>
      <w:proofErr w:type="spellEnd"/>
      <w:r w:rsidRPr="00A8115C">
        <w:rPr>
          <w:rFonts w:ascii="Calibri" w:hAnsi="Calibri" w:cs="Calibri"/>
          <w:i/>
          <w:iCs/>
          <w:color w:val="00B050"/>
          <w:kern w:val="2"/>
          <w:sz w:val="16"/>
          <w:szCs w:val="16"/>
        </w:rPr>
        <w:t xml:space="preserve"> information</w:t>
      </w:r>
    </w:p>
    <w:p w14:paraId="502D5CBF"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c.</w:t>
      </w:r>
      <w:r w:rsidRPr="00A8115C">
        <w:rPr>
          <w:rFonts w:ascii="Calibri" w:hAnsi="Calibri" w:cs="Calibri"/>
          <w:i/>
          <w:iCs/>
          <w:color w:val="00B050"/>
          <w:kern w:val="2"/>
          <w:sz w:val="16"/>
          <w:szCs w:val="16"/>
        </w:rPr>
        <w:tab/>
        <w:t>SPCR cause</w:t>
      </w:r>
    </w:p>
    <w:p w14:paraId="774BFD33"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d.</w:t>
      </w:r>
      <w:r w:rsidRPr="00A8115C">
        <w:rPr>
          <w:rFonts w:ascii="Calibri" w:hAnsi="Calibri" w:cs="Calibri"/>
          <w:i/>
          <w:iCs/>
          <w:color w:val="00B050"/>
          <w:kern w:val="2"/>
          <w:sz w:val="16"/>
          <w:szCs w:val="16"/>
        </w:rPr>
        <w:tab/>
        <w:t>Latest measurement results</w:t>
      </w:r>
    </w:p>
    <w:p w14:paraId="393D8A5C"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e.</w:t>
      </w:r>
      <w:r w:rsidRPr="00A8115C">
        <w:rPr>
          <w:rFonts w:ascii="Calibri" w:hAnsi="Calibri" w:cs="Calibri"/>
          <w:i/>
          <w:iCs/>
          <w:color w:val="00B050"/>
          <w:kern w:val="2"/>
          <w:sz w:val="16"/>
          <w:szCs w:val="16"/>
        </w:rPr>
        <w:tab/>
        <w:t>Location information of the UE</w:t>
      </w:r>
    </w:p>
    <w:p w14:paraId="08F1B694"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f.</w:t>
      </w:r>
      <w:r w:rsidRPr="00A8115C">
        <w:rPr>
          <w:rFonts w:ascii="Calibri" w:hAnsi="Calibri" w:cs="Calibri"/>
          <w:i/>
          <w:iCs/>
          <w:color w:val="00B050"/>
          <w:kern w:val="2"/>
          <w:sz w:val="16"/>
          <w:szCs w:val="16"/>
        </w:rPr>
        <w:tab/>
        <w:t>Time elapsed between the CPAC execution and reception of CPAC configuration, in case of CPAC</w:t>
      </w:r>
    </w:p>
    <w:p w14:paraId="395F850E" w14:textId="03D494FB" w:rsidR="00D7646A" w:rsidRDefault="00473501" w:rsidP="00D7646A">
      <w:pPr>
        <w:rPr>
          <w:lang w:val="en-US"/>
        </w:rPr>
      </w:pPr>
      <w:r>
        <w:rPr>
          <w:lang w:val="en-US"/>
        </w:rPr>
        <w:t>However, th</w:t>
      </w:r>
      <w:r w:rsidR="007D441B">
        <w:rPr>
          <w:lang w:val="en-US"/>
        </w:rPr>
        <w:t>ese</w:t>
      </w:r>
      <w:r>
        <w:rPr>
          <w:lang w:val="en-US"/>
        </w:rPr>
        <w:t xml:space="preserve"> w</w:t>
      </w:r>
      <w:r w:rsidR="007D441B">
        <w:rPr>
          <w:lang w:val="en-US"/>
        </w:rPr>
        <w:t>ere</w:t>
      </w:r>
      <w:r>
        <w:rPr>
          <w:lang w:val="en-US"/>
        </w:rPr>
        <w:t xml:space="preserve"> not agreed in RAN2 yet. Therefore, and as the </w:t>
      </w:r>
      <w:r w:rsidR="007D441B">
        <w:rPr>
          <w:lang w:val="en-US"/>
        </w:rPr>
        <w:t>previous agreement is stating, and LS to RAN2 is now needed.</w:t>
      </w:r>
    </w:p>
    <w:p w14:paraId="6937D0CF" w14:textId="5F0428F4" w:rsidR="007D441B" w:rsidRDefault="007D441B" w:rsidP="00564AB3">
      <w:pPr>
        <w:pStyle w:val="Proposal"/>
        <w:jc w:val="left"/>
      </w:pPr>
      <w:r>
        <w:t>Send an LS to inform RAN2 on the RAN3 decision about the information to be included in the SPR</w:t>
      </w:r>
    </w:p>
    <w:p w14:paraId="5B212C17" w14:textId="77777777" w:rsidR="007D441B" w:rsidRPr="007D441B" w:rsidRDefault="007D441B" w:rsidP="00D7646A"/>
    <w:p w14:paraId="20804281" w14:textId="77777777" w:rsidR="00D7646A" w:rsidRDefault="00D7646A" w:rsidP="00D7646A">
      <w:pPr>
        <w:pStyle w:val="Heading1"/>
        <w:rPr>
          <w:rFonts w:cs="Arial"/>
        </w:rPr>
      </w:pPr>
      <w:r>
        <w:rPr>
          <w:rFonts w:cs="Arial"/>
        </w:rPr>
        <w:t>3</w:t>
      </w:r>
      <w:r>
        <w:rPr>
          <w:rFonts w:cs="Arial"/>
        </w:rPr>
        <w:tab/>
        <w:t>Inter-RAT SHR</w:t>
      </w:r>
    </w:p>
    <w:p w14:paraId="73840F39" w14:textId="77777777" w:rsidR="00D7646A" w:rsidRPr="00D7646A" w:rsidRDefault="00D7646A" w:rsidP="00D7646A"/>
    <w:p w14:paraId="23BC0A23" w14:textId="78F19990" w:rsidR="008F640B" w:rsidRPr="0097648B" w:rsidRDefault="008F640B" w:rsidP="008F640B">
      <w:pPr>
        <w:pStyle w:val="Heading2"/>
      </w:pPr>
      <w:r>
        <w:lastRenderedPageBreak/>
        <w:t>3.</w:t>
      </w:r>
      <w:r w:rsidR="003C46AA">
        <w:t>1</w:t>
      </w:r>
      <w:r>
        <w:tab/>
      </w:r>
      <w:r w:rsidR="006C6AE0">
        <w:t>NR to LTE HO - A</w:t>
      </w:r>
      <w:r>
        <w:t>ddition of RACH related information</w:t>
      </w:r>
    </w:p>
    <w:p w14:paraId="7FDDA160" w14:textId="1E6E12A2" w:rsidR="004730E9" w:rsidRDefault="004730E9" w:rsidP="004730E9">
      <w:pPr>
        <w:rPr>
          <w:rFonts w:cs="Arial"/>
        </w:rPr>
      </w:pPr>
      <w:r>
        <w:rPr>
          <w:rStyle w:val="IvDbodytextChar"/>
        </w:rPr>
        <w:t xml:space="preserve">The RAN2#120 agreement cited in </w:t>
      </w:r>
      <w:r w:rsidR="00C2735F">
        <w:rPr>
          <w:rStyle w:val="IvDbodytextChar"/>
        </w:rPr>
        <w:t>introduction</w:t>
      </w:r>
      <w:r>
        <w:rPr>
          <w:rStyle w:val="IvDbodytextChar"/>
        </w:rPr>
        <w:t xml:space="preserve"> says that the </w:t>
      </w:r>
      <w:r w:rsidRPr="006D20AA">
        <w:rPr>
          <w:rStyle w:val="IvDbodytextChar"/>
          <w:i/>
          <w:iCs/>
        </w:rPr>
        <w:t>T304 trigger for inter-RAT SHR from NR to LTE is not supported</w:t>
      </w:r>
      <w:r w:rsidRPr="004730E9">
        <w:rPr>
          <w:rStyle w:val="IvDbodytextChar"/>
        </w:rPr>
        <w:t>.</w:t>
      </w:r>
      <w:r>
        <w:rPr>
          <w:rStyle w:val="IvDbodytextChar"/>
        </w:rPr>
        <w:t xml:space="preserve"> </w:t>
      </w:r>
      <w:r>
        <w:rPr>
          <w:rFonts w:cs="Arial"/>
        </w:rPr>
        <w:t xml:space="preserve">Therefore, </w:t>
      </w:r>
      <w:r w:rsidR="00286604">
        <w:rPr>
          <w:rFonts w:cs="Arial"/>
        </w:rPr>
        <w:t xml:space="preserve">for NR to LTE HO, </w:t>
      </w:r>
      <w:r w:rsidR="006C6AE0">
        <w:rPr>
          <w:rFonts w:cs="Arial"/>
        </w:rPr>
        <w:t>i</w:t>
      </w:r>
      <w:r>
        <w:rPr>
          <w:rFonts w:cs="Arial"/>
        </w:rPr>
        <w:t xml:space="preserve">nter-RAT </w:t>
      </w:r>
      <w:r w:rsidRPr="00C809A5">
        <w:rPr>
          <w:rFonts w:cs="Arial"/>
        </w:rPr>
        <w:t xml:space="preserve">SHR </w:t>
      </w:r>
      <w:r>
        <w:rPr>
          <w:rFonts w:cs="Arial"/>
        </w:rPr>
        <w:t>cannot be used f</w:t>
      </w:r>
      <w:r w:rsidRPr="00C809A5">
        <w:rPr>
          <w:rFonts w:cs="Arial"/>
        </w:rPr>
        <w:t xml:space="preserve">or improving </w:t>
      </w:r>
      <w:r>
        <w:rPr>
          <w:rFonts w:cs="Arial"/>
        </w:rPr>
        <w:t>the</w:t>
      </w:r>
      <w:r w:rsidRPr="00C809A5">
        <w:rPr>
          <w:rFonts w:cs="Arial"/>
        </w:rPr>
        <w:t xml:space="preserve"> handover performance </w:t>
      </w:r>
      <w:r w:rsidR="00286604">
        <w:rPr>
          <w:rFonts w:cs="Arial"/>
        </w:rPr>
        <w:t>in</w:t>
      </w:r>
      <w:r>
        <w:rPr>
          <w:rFonts w:cs="Arial"/>
        </w:rPr>
        <w:t xml:space="preserve"> the</w:t>
      </w:r>
      <w:r w:rsidRPr="00C809A5">
        <w:rPr>
          <w:rFonts w:cs="Arial"/>
        </w:rPr>
        <w:t xml:space="preserve"> target</w:t>
      </w:r>
      <w:r w:rsidR="00D953D9">
        <w:rPr>
          <w:rFonts w:cs="Arial"/>
        </w:rPr>
        <w:t xml:space="preserve"> </w:t>
      </w:r>
      <w:proofErr w:type="spellStart"/>
      <w:r w:rsidR="00D953D9">
        <w:rPr>
          <w:rFonts w:cs="Arial"/>
        </w:rPr>
        <w:t>eNB</w:t>
      </w:r>
      <w:proofErr w:type="spellEnd"/>
      <w:r w:rsidRPr="00C809A5">
        <w:rPr>
          <w:rFonts w:cs="Arial"/>
        </w:rPr>
        <w:t xml:space="preserve">. </w:t>
      </w:r>
    </w:p>
    <w:p w14:paraId="7484D6B5" w14:textId="5F5E4911" w:rsidR="004730E9" w:rsidRDefault="004730E9" w:rsidP="00FA55C6">
      <w:pPr>
        <w:pStyle w:val="Observation"/>
        <w:ind w:left="360" w:hanging="360"/>
      </w:pPr>
      <w:r>
        <w:rPr>
          <w:rFonts w:cs="Arial"/>
        </w:rPr>
        <w:t xml:space="preserve">Inter-RAT </w:t>
      </w:r>
      <w:r w:rsidRPr="00C809A5">
        <w:rPr>
          <w:rFonts w:cs="Arial"/>
        </w:rPr>
        <w:t xml:space="preserve">SHR </w:t>
      </w:r>
      <w:r>
        <w:rPr>
          <w:rFonts w:cs="Arial"/>
        </w:rPr>
        <w:t>cannot be used f</w:t>
      </w:r>
      <w:r w:rsidRPr="00C809A5">
        <w:rPr>
          <w:rFonts w:cs="Arial"/>
        </w:rPr>
        <w:t xml:space="preserve">or improving </w:t>
      </w:r>
      <w:r>
        <w:rPr>
          <w:rFonts w:cs="Arial"/>
        </w:rPr>
        <w:t>the</w:t>
      </w:r>
      <w:r w:rsidRPr="00C809A5">
        <w:rPr>
          <w:rFonts w:cs="Arial"/>
        </w:rPr>
        <w:t xml:space="preserve"> handover performance </w:t>
      </w:r>
      <w:r>
        <w:rPr>
          <w:rFonts w:cs="Arial"/>
        </w:rPr>
        <w:t>of the</w:t>
      </w:r>
      <w:r w:rsidRPr="00C809A5">
        <w:rPr>
          <w:rFonts w:cs="Arial"/>
        </w:rPr>
        <w:t xml:space="preserve"> target</w:t>
      </w:r>
      <w:r>
        <w:rPr>
          <w:rFonts w:cs="Arial"/>
        </w:rPr>
        <w:t xml:space="preserve"> (LTE) cell</w:t>
      </w:r>
      <w:r w:rsidR="00D953D9">
        <w:rPr>
          <w:rFonts w:cs="Arial"/>
        </w:rPr>
        <w:t xml:space="preserve"> for NR to LTE HO</w:t>
      </w:r>
    </w:p>
    <w:p w14:paraId="26274C10" w14:textId="77777777" w:rsidR="00C6635C" w:rsidRDefault="00C6635C" w:rsidP="00D2360C">
      <w:pPr>
        <w:rPr>
          <w:rStyle w:val="IvDbodytextChar"/>
        </w:rPr>
      </w:pPr>
    </w:p>
    <w:p w14:paraId="4C9DC64C" w14:textId="7026CC41" w:rsidR="00D2360C" w:rsidRDefault="00D54A10" w:rsidP="00D2360C">
      <w:pPr>
        <w:rPr>
          <w:rStyle w:val="IvDbodytextChar"/>
          <w:i/>
          <w:iCs/>
        </w:rPr>
      </w:pPr>
      <w:r>
        <w:rPr>
          <w:rStyle w:val="IvDbodytextChar"/>
        </w:rPr>
        <w:t xml:space="preserve">For this reason, we </w:t>
      </w:r>
      <w:r w:rsidR="00C936FC">
        <w:rPr>
          <w:rStyle w:val="IvDbodytextChar"/>
        </w:rPr>
        <w:t xml:space="preserve">may </w:t>
      </w:r>
      <w:r>
        <w:rPr>
          <w:rStyle w:val="IvDbodytextChar"/>
        </w:rPr>
        <w:t xml:space="preserve">consider other methods for improving </w:t>
      </w:r>
      <w:r w:rsidR="00D31A6A">
        <w:rPr>
          <w:rStyle w:val="IvDbodytextChar"/>
        </w:rPr>
        <w:t xml:space="preserve">the </w:t>
      </w:r>
      <w:r w:rsidR="00C936FC">
        <w:rPr>
          <w:rStyle w:val="IvDbodytextChar"/>
        </w:rPr>
        <w:t xml:space="preserve">performance for </w:t>
      </w:r>
      <w:r>
        <w:rPr>
          <w:rStyle w:val="IvDbodytextChar"/>
        </w:rPr>
        <w:t xml:space="preserve">the handover from NR to LTE. </w:t>
      </w:r>
      <w:r w:rsidR="00D2360C" w:rsidRPr="00887131">
        <w:rPr>
          <w:rStyle w:val="IvDbodytextChar"/>
        </w:rPr>
        <w:t>T</w:t>
      </w:r>
      <w:r w:rsidR="00D2360C">
        <w:rPr>
          <w:rStyle w:val="IvDbodytextChar"/>
          <w:iCs/>
        </w:rPr>
        <w:t>he performance of the handover execution (in terms of handover interruption time) toward</w:t>
      </w:r>
      <w:r w:rsidR="00D916D0">
        <w:rPr>
          <w:rStyle w:val="IvDbodytextChar"/>
          <w:iCs/>
        </w:rPr>
        <w:t>s</w:t>
      </w:r>
      <w:r w:rsidR="00D2360C">
        <w:rPr>
          <w:rStyle w:val="IvDbodytextChar"/>
          <w:iCs/>
        </w:rPr>
        <w:t xml:space="preserve"> a target cell depends </w:t>
      </w:r>
      <w:r w:rsidR="00D2360C" w:rsidRPr="00887131">
        <w:rPr>
          <w:rStyle w:val="IvDbodytextChar"/>
        </w:rPr>
        <w:t>partly</w:t>
      </w:r>
      <w:r w:rsidR="00D2360C">
        <w:rPr>
          <w:rStyle w:val="IvDbodytextChar"/>
          <w:i/>
          <w:iCs/>
        </w:rPr>
        <w:t xml:space="preserve"> </w:t>
      </w:r>
      <w:r w:rsidR="00D2360C">
        <w:rPr>
          <w:rStyle w:val="IvDbodytextChar"/>
          <w:iCs/>
        </w:rPr>
        <w:t>on the RA performance</w:t>
      </w:r>
      <w:r w:rsidR="00D2360C">
        <w:rPr>
          <w:rStyle w:val="IvDbodytextChar"/>
          <w:i/>
          <w:iCs/>
        </w:rPr>
        <w:t xml:space="preserve">, </w:t>
      </w:r>
      <w:r w:rsidR="00D2360C">
        <w:rPr>
          <w:rStyle w:val="IvDbodytextChar"/>
          <w:iCs/>
        </w:rPr>
        <w:t>in terms of number of RA attempts or</w:t>
      </w:r>
      <w:r w:rsidR="00D2360C">
        <w:rPr>
          <w:rStyle w:val="IvDbodytextChar"/>
          <w:i/>
          <w:iCs/>
        </w:rPr>
        <w:t>,</w:t>
      </w:r>
      <w:r w:rsidR="00D2360C">
        <w:rPr>
          <w:rStyle w:val="IvDbodytextChar"/>
          <w:iCs/>
        </w:rPr>
        <w:t xml:space="preserve"> in general</w:t>
      </w:r>
      <w:r w:rsidR="00D2360C">
        <w:rPr>
          <w:rStyle w:val="IvDbodytextChar"/>
          <w:i/>
          <w:iCs/>
        </w:rPr>
        <w:t>,</w:t>
      </w:r>
      <w:r w:rsidR="00D2360C">
        <w:rPr>
          <w:rStyle w:val="IvDbodytextChar"/>
          <w:iCs/>
        </w:rPr>
        <w:t xml:space="preserve"> the latency caused by the RA procedure as </w:t>
      </w:r>
      <w:r w:rsidR="00FD0019">
        <w:rPr>
          <w:rStyle w:val="IvDbodytextChar"/>
          <w:iCs/>
        </w:rPr>
        <w:t xml:space="preserve">the </w:t>
      </w:r>
      <w:r w:rsidR="00D2360C">
        <w:rPr>
          <w:rStyle w:val="IvDbodytextChar"/>
          <w:iCs/>
        </w:rPr>
        <w:t>core procedure of the handover execution phase</w:t>
      </w:r>
      <w:r w:rsidR="00D2360C">
        <w:rPr>
          <w:rStyle w:val="IvDbodytextChar"/>
          <w:i/>
          <w:iCs/>
        </w:rPr>
        <w:t xml:space="preserve">. </w:t>
      </w:r>
      <w:r w:rsidR="00D2360C" w:rsidRPr="00887131">
        <w:rPr>
          <w:rStyle w:val="IvDbodytextChar"/>
        </w:rPr>
        <w:t>Currently</w:t>
      </w:r>
      <w:r w:rsidR="00D2360C">
        <w:rPr>
          <w:rStyle w:val="IvDbodytextChar"/>
          <w:i/>
          <w:iCs/>
        </w:rPr>
        <w:t xml:space="preserve">, </w:t>
      </w:r>
      <w:r w:rsidR="00D2360C">
        <w:rPr>
          <w:rStyle w:val="IvDbodytextChar"/>
          <w:iCs/>
        </w:rPr>
        <w:t xml:space="preserve">the source </w:t>
      </w:r>
      <w:proofErr w:type="spellStart"/>
      <w:r w:rsidR="00D2360C">
        <w:rPr>
          <w:rStyle w:val="IvDbodytextChar"/>
          <w:iCs/>
        </w:rPr>
        <w:t>gNB</w:t>
      </w:r>
      <w:proofErr w:type="spellEnd"/>
      <w:r w:rsidR="00D2360C">
        <w:rPr>
          <w:rStyle w:val="IvDbodytextChar"/>
          <w:iCs/>
        </w:rPr>
        <w:t xml:space="preserve"> cannot select a </w:t>
      </w:r>
      <w:r w:rsidR="00B64C5A">
        <w:rPr>
          <w:rStyle w:val="IvDbodytextChar"/>
          <w:iCs/>
        </w:rPr>
        <w:t xml:space="preserve">suitable </w:t>
      </w:r>
      <w:r w:rsidR="00FD0019">
        <w:rPr>
          <w:rStyle w:val="IvDbodytextChar"/>
          <w:iCs/>
        </w:rPr>
        <w:t xml:space="preserve">future </w:t>
      </w:r>
      <w:r w:rsidR="00D2360C">
        <w:rPr>
          <w:rStyle w:val="IvDbodytextChar"/>
          <w:iCs/>
        </w:rPr>
        <w:t xml:space="preserve">target cell based on </w:t>
      </w:r>
      <w:r w:rsidR="00FD0019">
        <w:rPr>
          <w:rStyle w:val="IvDbodytextChar"/>
          <w:iCs/>
        </w:rPr>
        <w:t xml:space="preserve">historical </w:t>
      </w:r>
      <w:r w:rsidR="00D2360C">
        <w:rPr>
          <w:rStyle w:val="IvDbodytextChar"/>
          <w:iCs/>
        </w:rPr>
        <w:t>handover interruption time</w:t>
      </w:r>
      <w:r w:rsidR="00B64C5A">
        <w:rPr>
          <w:rStyle w:val="IvDbodytextChar"/>
          <w:iCs/>
        </w:rPr>
        <w:t xml:space="preserve"> knowledge</w:t>
      </w:r>
      <w:r w:rsidR="00D2360C">
        <w:rPr>
          <w:rStyle w:val="IvDbodytextChar"/>
          <w:iCs/>
        </w:rPr>
        <w:t xml:space="preserve">. Hence the handover decisions may lead to sub-optimal performance for inter-RAT handovers. </w:t>
      </w:r>
    </w:p>
    <w:p w14:paraId="5BCD2C32" w14:textId="55BE8A3F" w:rsidR="00D2360C" w:rsidRDefault="00D2360C" w:rsidP="00D2360C">
      <w:pPr>
        <w:rPr>
          <w:rFonts w:cs="Arial"/>
          <w:lang w:val="en-US"/>
        </w:rPr>
      </w:pPr>
      <w:r w:rsidRPr="00014E78">
        <w:rPr>
          <w:rFonts w:cs="Arial"/>
          <w:lang w:val="en-US"/>
        </w:rPr>
        <w:t xml:space="preserve">To </w:t>
      </w:r>
      <w:r w:rsidR="00FD0019">
        <w:rPr>
          <w:rFonts w:cs="Arial"/>
          <w:lang w:val="en-US"/>
        </w:rPr>
        <w:t xml:space="preserve">help the source </w:t>
      </w:r>
      <w:proofErr w:type="spellStart"/>
      <w:r w:rsidR="00FD0019">
        <w:rPr>
          <w:rFonts w:cs="Arial"/>
          <w:lang w:val="en-US"/>
        </w:rPr>
        <w:t>gNB</w:t>
      </w:r>
      <w:proofErr w:type="spellEnd"/>
      <w:r w:rsidR="00FD0019">
        <w:rPr>
          <w:rFonts w:cs="Arial"/>
          <w:lang w:val="en-US"/>
        </w:rPr>
        <w:t xml:space="preserve"> </w:t>
      </w:r>
      <w:r w:rsidRPr="00014E78">
        <w:rPr>
          <w:rFonts w:cs="Arial"/>
          <w:lang w:val="en-US"/>
        </w:rPr>
        <w:t xml:space="preserve">improve </w:t>
      </w:r>
      <w:r w:rsidR="00FD0019">
        <w:rPr>
          <w:rFonts w:cs="Arial"/>
          <w:lang w:val="en-US"/>
        </w:rPr>
        <w:t>its mobility parameters to a</w:t>
      </w:r>
      <w:r w:rsidR="00B64C5A">
        <w:rPr>
          <w:rFonts w:cs="Arial"/>
          <w:lang w:val="en-US"/>
        </w:rPr>
        <w:t>n</w:t>
      </w:r>
      <w:r w:rsidR="00FD0019">
        <w:rPr>
          <w:rFonts w:cs="Arial"/>
          <w:lang w:val="en-US"/>
        </w:rPr>
        <w:t xml:space="preserve"> LTE target node, </w:t>
      </w:r>
      <w:r w:rsidR="00FD0019">
        <w:rPr>
          <w:rFonts w:cs="Arial"/>
        </w:rPr>
        <w:t>we propose</w:t>
      </w:r>
      <w:r w:rsidR="00FD0019" w:rsidRPr="00C809A5">
        <w:rPr>
          <w:rFonts w:cs="Arial"/>
        </w:rPr>
        <w:t xml:space="preserve"> to augment the SHR for NR-to-LTE handovers with additional information. We suggest supplement</w:t>
      </w:r>
      <w:r w:rsidR="00D54A10">
        <w:rPr>
          <w:rFonts w:cs="Arial"/>
        </w:rPr>
        <w:t>ing</w:t>
      </w:r>
      <w:r w:rsidR="00FD0019" w:rsidRPr="00C809A5">
        <w:rPr>
          <w:rFonts w:cs="Arial"/>
        </w:rPr>
        <w:t xml:space="preserve"> the SHR for NR-to-LTE handovers with:</w:t>
      </w:r>
    </w:p>
    <w:p w14:paraId="69256B27" w14:textId="77777777" w:rsidR="00D2360C" w:rsidRPr="000314B7" w:rsidRDefault="00D2360C" w:rsidP="00FA55C6">
      <w:pPr>
        <w:numPr>
          <w:ilvl w:val="0"/>
          <w:numId w:val="6"/>
        </w:numPr>
        <w:rPr>
          <w:rFonts w:cs="Arial"/>
          <w:lang w:val="en-US"/>
        </w:rPr>
      </w:pPr>
      <w:r w:rsidRPr="000314B7">
        <w:rPr>
          <w:rFonts w:cs="Arial"/>
          <w:lang w:val="en-US"/>
        </w:rPr>
        <w:t>A counter for the number of RACH attempts made for the successful handover.</w:t>
      </w:r>
    </w:p>
    <w:p w14:paraId="5B8CB412" w14:textId="5C866210" w:rsidR="00D2360C" w:rsidRPr="000314B7" w:rsidRDefault="00D2360C" w:rsidP="00FA55C6">
      <w:pPr>
        <w:numPr>
          <w:ilvl w:val="0"/>
          <w:numId w:val="6"/>
        </w:numPr>
        <w:rPr>
          <w:rFonts w:cs="Arial"/>
          <w:lang w:val="en-US"/>
        </w:rPr>
      </w:pPr>
      <w:r w:rsidRPr="000314B7">
        <w:rPr>
          <w:rFonts w:cs="Arial"/>
          <w:lang w:val="en-US"/>
        </w:rPr>
        <w:t xml:space="preserve">A flag on whether contention was present during the RA procedure or not. </w:t>
      </w:r>
    </w:p>
    <w:p w14:paraId="3FE50EE0" w14:textId="653274F8" w:rsidR="00D2360C" w:rsidRPr="00014E78" w:rsidRDefault="00D2360C" w:rsidP="00D2360C">
      <w:pPr>
        <w:rPr>
          <w:rFonts w:cs="Arial"/>
          <w:lang w:val="en-US"/>
        </w:rPr>
      </w:pPr>
      <w:bookmarkStart w:id="15" w:name="_Hlk126682497"/>
      <w:r w:rsidRPr="00014E78">
        <w:rPr>
          <w:rFonts w:cs="Arial"/>
          <w:lang w:val="en-US"/>
        </w:rPr>
        <w:t>Although this new information cannot help the target (LTE) node</w:t>
      </w:r>
      <w:r w:rsidR="00D31A6A">
        <w:rPr>
          <w:rFonts w:cs="Arial"/>
          <w:lang w:val="en-US"/>
        </w:rPr>
        <w:t xml:space="preserve"> itself</w:t>
      </w:r>
      <w:r w:rsidRPr="00014E78">
        <w:rPr>
          <w:rFonts w:cs="Arial"/>
          <w:lang w:val="en-US"/>
        </w:rPr>
        <w:t xml:space="preserve">, it can improve the </w:t>
      </w:r>
      <w:r>
        <w:rPr>
          <w:rFonts w:cs="Arial"/>
          <w:lang w:val="en-US"/>
        </w:rPr>
        <w:t>performance</w:t>
      </w:r>
      <w:r w:rsidRPr="00014E78">
        <w:rPr>
          <w:rFonts w:cs="Arial"/>
          <w:lang w:val="en-US"/>
        </w:rPr>
        <w:t xml:space="preserve"> of the </w:t>
      </w:r>
      <w:r w:rsidR="00C33005">
        <w:rPr>
          <w:rFonts w:cs="Arial"/>
          <w:lang w:val="en-US"/>
        </w:rPr>
        <w:t>inter-system HO itself, by helping</w:t>
      </w:r>
      <w:r w:rsidRPr="00014E78">
        <w:rPr>
          <w:rFonts w:cs="Arial"/>
          <w:lang w:val="en-US"/>
        </w:rPr>
        <w:t xml:space="preserve"> the source</w:t>
      </w:r>
      <w:r w:rsidR="00C33005">
        <w:rPr>
          <w:rFonts w:cs="Arial"/>
          <w:lang w:val="en-US"/>
        </w:rPr>
        <w:t xml:space="preserve"> NG-RAN</w:t>
      </w:r>
      <w:r w:rsidRPr="00014E78">
        <w:rPr>
          <w:rFonts w:cs="Arial"/>
          <w:lang w:val="en-US"/>
        </w:rPr>
        <w:t xml:space="preserve"> node </w:t>
      </w:r>
      <w:r w:rsidR="00C33005">
        <w:rPr>
          <w:rFonts w:cs="Arial"/>
          <w:lang w:val="en-US"/>
        </w:rPr>
        <w:t>to</w:t>
      </w:r>
      <w:r w:rsidRPr="00014E78">
        <w:rPr>
          <w:rFonts w:cs="Arial"/>
          <w:lang w:val="en-US"/>
        </w:rPr>
        <w:t xml:space="preserve"> better judge which target node it should hand over UEs to.</w:t>
      </w:r>
    </w:p>
    <w:bookmarkEnd w:id="15"/>
    <w:p w14:paraId="51787646" w14:textId="0CB80A61" w:rsidR="00D54A10" w:rsidRDefault="00F76D99" w:rsidP="00D2360C">
      <w:pPr>
        <w:rPr>
          <w:rFonts w:cs="Arial"/>
        </w:rPr>
      </w:pPr>
      <w:r>
        <w:rPr>
          <w:rFonts w:cs="Arial"/>
        </w:rPr>
        <w:t>To enable logging</w:t>
      </w:r>
      <w:r w:rsidR="003E0559">
        <w:rPr>
          <w:rFonts w:cs="Arial"/>
        </w:rPr>
        <w:t xml:space="preserve"> of these information in the SHR</w:t>
      </w:r>
      <w:r>
        <w:rPr>
          <w:rFonts w:cs="Arial"/>
        </w:rPr>
        <w:t xml:space="preserve">, we propose to enhance the SHR configuration with a triggering condition for the number of RA attempts e.g. when the number of RA attempts at the HO execution toward </w:t>
      </w:r>
      <w:r w:rsidR="00B64C5A">
        <w:rPr>
          <w:rFonts w:cs="Arial"/>
        </w:rPr>
        <w:t xml:space="preserve">an </w:t>
      </w:r>
      <w:r>
        <w:rPr>
          <w:rFonts w:cs="Arial"/>
        </w:rPr>
        <w:t xml:space="preserve">LTE cell is above a certain number the UE logs inter-RAT SHR. </w:t>
      </w:r>
    </w:p>
    <w:p w14:paraId="155E3F89" w14:textId="77777777" w:rsidR="00D54A10" w:rsidRDefault="00D54A10" w:rsidP="00D54A10">
      <w:pPr>
        <w:rPr>
          <w:rFonts w:cs="Arial"/>
        </w:rPr>
      </w:pPr>
      <w:r>
        <w:rPr>
          <w:rFonts w:cs="Arial"/>
        </w:rPr>
        <w:t>Note that the NR RA-Report is not created for an NR-to-LTE handover, therefore the NR RA-Report cannot be used for this purpose.</w:t>
      </w:r>
    </w:p>
    <w:p w14:paraId="5BB83805" w14:textId="77777777" w:rsidR="00D2360C" w:rsidRDefault="00F76D99" w:rsidP="00D2360C">
      <w:pPr>
        <w:rPr>
          <w:rFonts w:cs="Arial"/>
        </w:rPr>
      </w:pPr>
      <w:r>
        <w:rPr>
          <w:rFonts w:cs="Arial"/>
        </w:rPr>
        <w:t>Hence, we propose the following:</w:t>
      </w:r>
    </w:p>
    <w:p w14:paraId="4549FC12" w14:textId="77777777" w:rsidR="00E72ED7" w:rsidRPr="002600F2" w:rsidRDefault="00E72ED7" w:rsidP="00D2360C">
      <w:pPr>
        <w:rPr>
          <w:lang w:val="x-none"/>
        </w:rPr>
      </w:pPr>
    </w:p>
    <w:p w14:paraId="425819BA" w14:textId="04F75D1C" w:rsidR="00D2360C" w:rsidRDefault="00D2360C" w:rsidP="00FA55C6">
      <w:pPr>
        <w:pStyle w:val="Proposal"/>
      </w:pPr>
      <w:r>
        <w:t xml:space="preserve">For </w:t>
      </w:r>
      <w:r w:rsidRPr="00F70D99">
        <w:t>Inter</w:t>
      </w:r>
      <w:r>
        <w:t>-RAT handover from NR to LTE, augment the SHR with a counter for the number of RACH attempts made for the successful handover</w:t>
      </w:r>
    </w:p>
    <w:p w14:paraId="48DFD095" w14:textId="66E89DB7" w:rsidR="00D2360C" w:rsidRDefault="00D2360C" w:rsidP="00FA55C6">
      <w:pPr>
        <w:pStyle w:val="Proposal"/>
      </w:pPr>
      <w:r>
        <w:t>For Inter-RAT handover from NR to LTE, augment the SHR with a flag on whether contention was observed for the successful handover</w:t>
      </w:r>
    </w:p>
    <w:p w14:paraId="4D51C011" w14:textId="584B96E4" w:rsidR="00D54A10" w:rsidRDefault="00A943B3" w:rsidP="00FA55C6">
      <w:pPr>
        <w:pStyle w:val="Proposal"/>
        <w:jc w:val="left"/>
      </w:pPr>
      <w:bookmarkStart w:id="16" w:name="_Toc118388613"/>
      <w:bookmarkStart w:id="17" w:name="_Toc118389205"/>
      <w:r>
        <w:t xml:space="preserve">For Inter-RAT handover from NR to LTE, </w:t>
      </w:r>
      <w:r w:rsidR="00D54A10">
        <w:t>enhance the inter-RAT SHR configuration with a triggering condition associated to the number of random accesses attempts toward the LTE cell</w:t>
      </w:r>
      <w:bookmarkEnd w:id="16"/>
      <w:bookmarkEnd w:id="17"/>
      <w:r w:rsidR="00D54A10">
        <w:t xml:space="preserve"> </w:t>
      </w:r>
    </w:p>
    <w:p w14:paraId="54422125" w14:textId="77777777" w:rsidR="00D54A10" w:rsidRDefault="00D54A10" w:rsidP="00D2360C">
      <w:pPr>
        <w:pStyle w:val="Proposal"/>
        <w:numPr>
          <w:ilvl w:val="0"/>
          <w:numId w:val="0"/>
        </w:numPr>
        <w:tabs>
          <w:tab w:val="clear" w:pos="1701"/>
        </w:tabs>
        <w:jc w:val="left"/>
      </w:pPr>
    </w:p>
    <w:p w14:paraId="44F0771F" w14:textId="38B006CA" w:rsidR="00EB1508" w:rsidRDefault="00877252" w:rsidP="00AB6295">
      <w:pPr>
        <w:pStyle w:val="Heading2"/>
      </w:pPr>
      <w:r w:rsidRPr="007B5264">
        <w:t>3.</w:t>
      </w:r>
      <w:r w:rsidR="00EF079D">
        <w:t>2</w:t>
      </w:r>
      <w:r w:rsidRPr="007B5264">
        <w:tab/>
      </w:r>
      <w:r w:rsidR="00893CE5">
        <w:t>SHR retrieval</w:t>
      </w:r>
      <w:r w:rsidR="004A30CB">
        <w:t xml:space="preserve"> -</w:t>
      </w:r>
      <w:r w:rsidRPr="007B5264">
        <w:t xml:space="preserve"> UE log</w:t>
      </w:r>
      <w:r w:rsidRPr="009D1984">
        <w:t xml:space="preserve">s </w:t>
      </w:r>
      <w:r>
        <w:t>the time since SHR generation</w:t>
      </w:r>
    </w:p>
    <w:p w14:paraId="5816BC7F" w14:textId="6141F867" w:rsidR="00EB1508" w:rsidRDefault="00996D50" w:rsidP="00EB1508">
      <w:pPr>
        <w:rPr>
          <w:rFonts w:cs="Arial"/>
        </w:rPr>
      </w:pPr>
      <w:r>
        <w:rPr>
          <w:rFonts w:cs="Arial"/>
        </w:rPr>
        <w:t>S</w:t>
      </w:r>
      <w:r w:rsidR="00EB1508">
        <w:rPr>
          <w:rFonts w:cs="Arial"/>
        </w:rPr>
        <w:t>om</w:t>
      </w:r>
      <w:r w:rsidR="003A3D5F">
        <w:rPr>
          <w:rFonts w:cs="Arial"/>
        </w:rPr>
        <w:t>e com</w:t>
      </w:r>
      <w:r w:rsidR="00EB1508">
        <w:rPr>
          <w:rFonts w:cs="Arial"/>
        </w:rPr>
        <w:t>panies argue</w:t>
      </w:r>
      <w:r w:rsidR="00C3049B">
        <w:rPr>
          <w:rFonts w:cs="Arial"/>
        </w:rPr>
        <w:t>d</w:t>
      </w:r>
      <w:r w:rsidR="00EB1508">
        <w:rPr>
          <w:rFonts w:cs="Arial"/>
        </w:rPr>
        <w:t xml:space="preserve"> that </w:t>
      </w:r>
      <w:r w:rsidR="00853D21">
        <w:rPr>
          <w:rFonts w:cs="Arial"/>
        </w:rPr>
        <w:t xml:space="preserve">the inter-RAT </w:t>
      </w:r>
      <w:r w:rsidR="00EB1508">
        <w:rPr>
          <w:rFonts w:cs="Arial"/>
        </w:rPr>
        <w:t xml:space="preserve">SHR should be stored in the UE until the network fetches it. We assume that it follows the same principle </w:t>
      </w:r>
      <w:r w:rsidR="00283AD3">
        <w:rPr>
          <w:rFonts w:cs="Arial"/>
        </w:rPr>
        <w:t>than</w:t>
      </w:r>
      <w:r w:rsidR="00EB1508">
        <w:rPr>
          <w:rFonts w:cs="Arial"/>
        </w:rPr>
        <w:t xml:space="preserve"> RLF report</w:t>
      </w:r>
      <w:r w:rsidR="00853D21">
        <w:rPr>
          <w:rFonts w:cs="Arial"/>
        </w:rPr>
        <w:t xml:space="preserve"> and intra-RAT SHR i.e.</w:t>
      </w:r>
      <w:r w:rsidR="00EB1508">
        <w:rPr>
          <w:rFonts w:cs="Arial"/>
        </w:rPr>
        <w:t xml:space="preserve"> that the UE may need to store it up to 48 hours. As the SHR is generated during a handover from NR to LTE, the target (LTE) node is not knowledgeable of SHR and cannot fetch it</w:t>
      </w:r>
      <w:r w:rsidR="009F0FAD">
        <w:rPr>
          <w:rFonts w:cs="Arial"/>
        </w:rPr>
        <w:t xml:space="preserve">, </w:t>
      </w:r>
      <w:r w:rsidR="00F66325">
        <w:rPr>
          <w:rFonts w:cs="Arial"/>
        </w:rPr>
        <w:t xml:space="preserve">under the current RAN2 agreement that </w:t>
      </w:r>
      <w:r w:rsidR="009F0FAD">
        <w:rPr>
          <w:rFonts w:cs="Arial"/>
        </w:rPr>
        <w:t xml:space="preserve">LTE </w:t>
      </w:r>
      <w:r w:rsidR="00F66325">
        <w:rPr>
          <w:rFonts w:cs="Arial"/>
        </w:rPr>
        <w:t>shall not be</w:t>
      </w:r>
      <w:r w:rsidR="00483A1C">
        <w:rPr>
          <w:rFonts w:cs="Arial"/>
        </w:rPr>
        <w:t xml:space="preserve"> impacted</w:t>
      </w:r>
      <w:r w:rsidR="00EB1508">
        <w:rPr>
          <w:rFonts w:cs="Arial"/>
        </w:rPr>
        <w:t>.</w:t>
      </w:r>
      <w:r w:rsidR="00310A87">
        <w:rPr>
          <w:rFonts w:cs="Arial"/>
        </w:rPr>
        <w:t xml:space="preserve"> </w:t>
      </w:r>
      <w:r w:rsidR="00F66325">
        <w:rPr>
          <w:rFonts w:cs="Arial"/>
        </w:rPr>
        <w:t>From this follows that</w:t>
      </w:r>
      <w:r w:rsidR="003A3D5F">
        <w:rPr>
          <w:rFonts w:cs="Arial"/>
        </w:rPr>
        <w:t xml:space="preserve"> t</w:t>
      </w:r>
      <w:r w:rsidR="00EB1508">
        <w:rPr>
          <w:rFonts w:cs="Arial"/>
        </w:rPr>
        <w:t xml:space="preserve">he SHR can only be fetched when the UE hands over from an LTE node </w:t>
      </w:r>
      <w:r w:rsidR="00F66325">
        <w:rPr>
          <w:rFonts w:cs="Arial"/>
        </w:rPr>
        <w:t xml:space="preserve">back </w:t>
      </w:r>
      <w:r w:rsidR="00EB1508">
        <w:rPr>
          <w:rFonts w:cs="Arial"/>
        </w:rPr>
        <w:t xml:space="preserve">to a NR node. </w:t>
      </w:r>
    </w:p>
    <w:p w14:paraId="27AE79F2" w14:textId="4989DAD1" w:rsidR="00DF5048" w:rsidRDefault="00426942" w:rsidP="00FA55C6">
      <w:pPr>
        <w:pStyle w:val="Proposal"/>
        <w:jc w:val="left"/>
      </w:pPr>
      <w:r>
        <w:t>For NG-RAN to E-UTRAN HO, SHR is fetched when UE returns to NG-RAN</w:t>
      </w:r>
    </w:p>
    <w:p w14:paraId="7B4A44FA" w14:textId="5556E758" w:rsidR="00EB1508" w:rsidRDefault="00EB1508" w:rsidP="00FA55C6">
      <w:pPr>
        <w:pStyle w:val="Observation"/>
        <w:ind w:left="360" w:hanging="360"/>
        <w:jc w:val="left"/>
      </w:pPr>
      <w:r>
        <w:lastRenderedPageBreak/>
        <w:t>For a SHR generated for a NR-to-LTE handover, the SHR can be reported to the source node only when the UE returns to the NR network. This can take up to 48 hours</w:t>
      </w:r>
    </w:p>
    <w:p w14:paraId="6B4519C9" w14:textId="331270B6" w:rsidR="00EB1508" w:rsidRDefault="00EB1508" w:rsidP="00EB1508">
      <w:pPr>
        <w:rPr>
          <w:rFonts w:cs="Arial"/>
        </w:rPr>
      </w:pPr>
      <w:r>
        <w:rPr>
          <w:rFonts w:cs="Arial"/>
        </w:rPr>
        <w:t>Thus, similar to CEF and RLF report, it is important that the UE logs the time between SHR report generation and fetching by the network.</w:t>
      </w:r>
      <w:r w:rsidR="006A46A8">
        <w:rPr>
          <w:rFonts w:cs="Arial"/>
        </w:rPr>
        <w:t xml:space="preserve"> This will help the </w:t>
      </w:r>
      <w:r w:rsidR="00CE0AB3">
        <w:rPr>
          <w:rFonts w:cs="Arial"/>
        </w:rPr>
        <w:t xml:space="preserve">source node to retrieve the UE Context, if </w:t>
      </w:r>
      <w:r w:rsidR="00667AF9">
        <w:rPr>
          <w:rFonts w:cs="Arial"/>
        </w:rPr>
        <w:t>stored.</w:t>
      </w:r>
    </w:p>
    <w:p w14:paraId="54FB34AC" w14:textId="77777777" w:rsidR="00EB1508" w:rsidRDefault="00EB1508" w:rsidP="00EB1508">
      <w:pPr>
        <w:rPr>
          <w:rFonts w:cs="Arial"/>
        </w:rPr>
      </w:pPr>
      <w:r>
        <w:rPr>
          <w:rFonts w:cs="Arial"/>
        </w:rPr>
        <w:t>Furthermore, logging the time between SHR generation and fetching should be extended to cover not only the Inter-RAT SHR case, but also the Intra-NR SHR case. When doing this, the time is logged in the CEF report, the RLF report, the SPR, the Intra-NR SHR and the Inter-RAT SHR. This way, the possibility of correlating these reports will be improved, for example when a RLF occurs after a SHR, or a SHR occurs after RLF.</w:t>
      </w:r>
    </w:p>
    <w:p w14:paraId="35AD7986" w14:textId="012E6B95" w:rsidR="006F4E0D" w:rsidRPr="00F66325" w:rsidRDefault="00EB1508" w:rsidP="00FA55C6">
      <w:pPr>
        <w:pStyle w:val="Proposal"/>
        <w:spacing w:before="120"/>
        <w:rPr>
          <w:lang w:val="en-US"/>
        </w:rPr>
      </w:pPr>
      <w:r w:rsidRPr="00F70D99">
        <w:t>Intra</w:t>
      </w:r>
      <w:r>
        <w:t>-NR SHR and Inter-RAT SHR to include the time between report generation and report fetching.</w:t>
      </w:r>
    </w:p>
    <w:p w14:paraId="11DADACF" w14:textId="77777777" w:rsidR="00D2259E" w:rsidRDefault="00D2259E" w:rsidP="00E5287C">
      <w:pPr>
        <w:rPr>
          <w:lang w:val="en-US"/>
        </w:rPr>
      </w:pPr>
    </w:p>
    <w:p w14:paraId="167FB721" w14:textId="77F19B95" w:rsidR="00F66325" w:rsidRDefault="008A5B5F" w:rsidP="00F66325">
      <w:pPr>
        <w:pStyle w:val="Heading2"/>
        <w:rPr>
          <w:lang w:val="en-US"/>
        </w:rPr>
      </w:pPr>
      <w:r>
        <w:rPr>
          <w:lang w:val="en-US"/>
        </w:rPr>
        <w:t>3.</w:t>
      </w:r>
      <w:r w:rsidR="004362C7">
        <w:rPr>
          <w:lang w:val="en-US"/>
        </w:rPr>
        <w:t>3</w:t>
      </w:r>
      <w:r>
        <w:rPr>
          <w:lang w:val="en-US"/>
        </w:rPr>
        <w:tab/>
      </w:r>
      <w:r w:rsidR="00F66325">
        <w:rPr>
          <w:lang w:val="en-US"/>
        </w:rPr>
        <w:t>Forwarding mechanism</w:t>
      </w:r>
    </w:p>
    <w:p w14:paraId="3CA12975" w14:textId="696C0C57" w:rsidR="00F66325" w:rsidRDefault="0020649D" w:rsidP="00F66325">
      <w:pPr>
        <w:rPr>
          <w:lang w:val="en-US"/>
        </w:rPr>
      </w:pPr>
      <w:r>
        <w:rPr>
          <w:lang w:val="en-US"/>
        </w:rPr>
        <w:t>The node retrieving the</w:t>
      </w:r>
      <w:r>
        <w:rPr>
          <w:lang w:val="en-US"/>
        </w:rPr>
        <w:t xml:space="preserve"> S</w:t>
      </w:r>
      <w:r w:rsidR="006F6F4F">
        <w:rPr>
          <w:lang w:val="en-US"/>
        </w:rPr>
        <w:t>H</w:t>
      </w:r>
      <w:r>
        <w:rPr>
          <w:lang w:val="en-US"/>
        </w:rPr>
        <w:t xml:space="preserve">R </w:t>
      </w:r>
      <w:r>
        <w:rPr>
          <w:lang w:val="en-US"/>
        </w:rPr>
        <w:t>from the UE can use information about the source node to determine where to send the SHR, the same way as for the</w:t>
      </w:r>
      <w:r w:rsidR="009A0800">
        <w:rPr>
          <w:lang w:val="en-US"/>
        </w:rPr>
        <w:t xml:space="preserve"> Intra-</w:t>
      </w:r>
      <w:r>
        <w:rPr>
          <w:lang w:val="en-US"/>
        </w:rPr>
        <w:t>NR SHR. For</w:t>
      </w:r>
      <w:r w:rsidR="009A0800">
        <w:rPr>
          <w:lang w:val="en-US"/>
        </w:rPr>
        <w:t xml:space="preserve"> Intra-NR</w:t>
      </w:r>
      <w:r>
        <w:rPr>
          <w:lang w:val="en-US"/>
        </w:rPr>
        <w:t xml:space="preserve"> SHR, the retrieving node uses the </w:t>
      </w:r>
      <w:proofErr w:type="spellStart"/>
      <w:r>
        <w:rPr>
          <w:lang w:val="en-US"/>
        </w:rPr>
        <w:t>Xn</w:t>
      </w:r>
      <w:proofErr w:type="spellEnd"/>
      <w:r>
        <w:rPr>
          <w:lang w:val="en-US"/>
        </w:rPr>
        <w:t xml:space="preserve"> ACCESS AND MOBILITY INDICATION to send the SHR. We propose to reuse the same mechanism for I</w:t>
      </w:r>
      <w:r w:rsidR="007C4631">
        <w:rPr>
          <w:lang w:val="en-US"/>
        </w:rPr>
        <w:t>nter-</w:t>
      </w:r>
      <w:r>
        <w:rPr>
          <w:lang w:val="en-US"/>
        </w:rPr>
        <w:t>RAT SHR.</w:t>
      </w:r>
    </w:p>
    <w:p w14:paraId="627119BD" w14:textId="01F5FC01" w:rsidR="0020649D" w:rsidRDefault="0020649D" w:rsidP="00FA55C6">
      <w:pPr>
        <w:pStyle w:val="Proposal"/>
        <w:rPr>
          <w:lang w:val="en-US"/>
        </w:rPr>
      </w:pPr>
      <w:r>
        <w:rPr>
          <w:lang w:val="en-US"/>
        </w:rPr>
        <w:t xml:space="preserve">Reuse </w:t>
      </w:r>
      <w:proofErr w:type="spellStart"/>
      <w:r>
        <w:rPr>
          <w:lang w:val="en-US"/>
        </w:rPr>
        <w:t>Xn</w:t>
      </w:r>
      <w:proofErr w:type="spellEnd"/>
      <w:r>
        <w:rPr>
          <w:lang w:val="en-US"/>
        </w:rPr>
        <w:t xml:space="preserve"> </w:t>
      </w:r>
      <w:r w:rsidRPr="0020649D">
        <w:rPr>
          <w:lang w:val="en-US"/>
        </w:rPr>
        <w:t>ACCESS AND MOBILITY INDICATION</w:t>
      </w:r>
      <w:r>
        <w:rPr>
          <w:lang w:val="en-US"/>
        </w:rPr>
        <w:t xml:space="preserve"> for </w:t>
      </w:r>
      <w:r w:rsidR="0053799E">
        <w:rPr>
          <w:lang w:val="en-US"/>
        </w:rPr>
        <w:t>forwarding</w:t>
      </w:r>
      <w:r>
        <w:rPr>
          <w:lang w:val="en-US"/>
        </w:rPr>
        <w:t xml:space="preserve"> </w:t>
      </w:r>
      <w:r w:rsidR="0053799E">
        <w:rPr>
          <w:lang w:val="en-US"/>
        </w:rPr>
        <w:t>the</w:t>
      </w:r>
      <w:r>
        <w:rPr>
          <w:lang w:val="en-US"/>
        </w:rPr>
        <w:t xml:space="preserve"> I</w:t>
      </w:r>
      <w:r w:rsidR="007C4631">
        <w:rPr>
          <w:lang w:val="en-US"/>
        </w:rPr>
        <w:t>nter-</w:t>
      </w:r>
      <w:r>
        <w:rPr>
          <w:lang w:val="en-US"/>
        </w:rPr>
        <w:t>RAT SHR fr</w:t>
      </w:r>
      <w:r w:rsidR="003F038F">
        <w:rPr>
          <w:lang w:val="en-US"/>
        </w:rPr>
        <w:t>o</w:t>
      </w:r>
      <w:r>
        <w:rPr>
          <w:lang w:val="en-US"/>
        </w:rPr>
        <w:t xml:space="preserve">m the retrieving </w:t>
      </w:r>
      <w:r w:rsidR="001E3EEB">
        <w:rPr>
          <w:lang w:val="en-US"/>
        </w:rPr>
        <w:t xml:space="preserve">NR </w:t>
      </w:r>
      <w:r>
        <w:rPr>
          <w:lang w:val="en-US"/>
        </w:rPr>
        <w:t xml:space="preserve">node to the source </w:t>
      </w:r>
      <w:r w:rsidR="001E3EEB">
        <w:rPr>
          <w:lang w:val="en-US"/>
        </w:rPr>
        <w:t xml:space="preserve">NR </w:t>
      </w:r>
      <w:r>
        <w:rPr>
          <w:lang w:val="en-US"/>
        </w:rPr>
        <w:t>node</w:t>
      </w:r>
    </w:p>
    <w:p w14:paraId="3A06076F" w14:textId="77777777" w:rsidR="00690611" w:rsidRPr="00690611" w:rsidRDefault="00690611" w:rsidP="00690611">
      <w:pPr>
        <w:rPr>
          <w:lang w:val="en-US"/>
        </w:rPr>
      </w:pPr>
    </w:p>
    <w:p w14:paraId="5B1BE7CA" w14:textId="2559B9BD" w:rsidR="00501135" w:rsidRDefault="00270E1B" w:rsidP="00DC1289">
      <w:pPr>
        <w:pStyle w:val="Heading1"/>
        <w:rPr>
          <w:rFonts w:cs="Arial"/>
        </w:rPr>
      </w:pPr>
      <w:bookmarkStart w:id="18" w:name="_Toc527283432"/>
      <w:bookmarkStart w:id="19" w:name="_Toc527283649"/>
      <w:bookmarkStart w:id="20" w:name="_Toc527283678"/>
      <w:bookmarkStart w:id="21" w:name="_Toc527283742"/>
      <w:bookmarkStart w:id="22" w:name="_Toc527283746"/>
      <w:bookmarkStart w:id="23" w:name="_Toc527283908"/>
      <w:bookmarkStart w:id="24" w:name="_Toc527283925"/>
      <w:bookmarkStart w:id="25" w:name="_Hlk16664956"/>
      <w:r>
        <w:rPr>
          <w:rFonts w:cs="Arial"/>
        </w:rPr>
        <w:t>4</w:t>
      </w:r>
      <w:r w:rsidR="00501135">
        <w:rPr>
          <w:rFonts w:cs="Arial"/>
        </w:rPr>
        <w:tab/>
      </w:r>
      <w:r w:rsidR="0001024C">
        <w:rPr>
          <w:rFonts w:cs="Arial"/>
        </w:rPr>
        <w:t>Conclusion</w:t>
      </w:r>
      <w:bookmarkEnd w:id="18"/>
      <w:bookmarkEnd w:id="19"/>
      <w:bookmarkEnd w:id="20"/>
      <w:bookmarkEnd w:id="21"/>
      <w:bookmarkEnd w:id="22"/>
      <w:bookmarkEnd w:id="23"/>
      <w:bookmarkEnd w:id="24"/>
    </w:p>
    <w:p w14:paraId="58980F9E" w14:textId="77777777" w:rsidR="009E37EC" w:rsidRDefault="005C2738" w:rsidP="00A70872">
      <w:r w:rsidRPr="009C3A7D">
        <w:t>SHR for intra-system inter-RAT</w:t>
      </w:r>
      <w:r>
        <w:t xml:space="preserve"> and SPR have been discussed further and the following observations and agreements have been made</w:t>
      </w:r>
      <w:r w:rsidR="009E37EC">
        <w:t>:</w:t>
      </w:r>
    </w:p>
    <w:p w14:paraId="5C9BF511" w14:textId="5A96F903" w:rsidR="005C2738" w:rsidRPr="00FE4DBF" w:rsidRDefault="004977FB" w:rsidP="00A70872">
      <w:pPr>
        <w:rPr>
          <w:b/>
          <w:bCs/>
          <w:lang w:val="sv-SE"/>
        </w:rPr>
      </w:pPr>
      <w:r w:rsidRPr="00F70D99">
        <w:rPr>
          <w:b/>
          <w:bCs/>
        </w:rPr>
        <w:t xml:space="preserve">Successful </w:t>
      </w:r>
      <w:proofErr w:type="spellStart"/>
      <w:r w:rsidRPr="00F70D99">
        <w:rPr>
          <w:b/>
          <w:bCs/>
        </w:rPr>
        <w:t>PSCell</w:t>
      </w:r>
      <w:proofErr w:type="spellEnd"/>
      <w:r w:rsidRPr="00F70D99">
        <w:rPr>
          <w:b/>
          <w:bCs/>
        </w:rPr>
        <w:t xml:space="preserve"> Report (SPR)</w:t>
      </w:r>
      <w:r w:rsidR="005C2738" w:rsidRPr="00FE4DBF">
        <w:rPr>
          <w:b/>
          <w:bCs/>
          <w:lang w:val="sv-SE"/>
        </w:rPr>
        <w:t>:</w:t>
      </w:r>
    </w:p>
    <w:p w14:paraId="460D5495" w14:textId="64227DB3" w:rsidR="00C27283" w:rsidRDefault="00DA4C2B" w:rsidP="00DA4C2B">
      <w:pPr>
        <w:pStyle w:val="Observation"/>
        <w:numPr>
          <w:ilvl w:val="0"/>
          <w:numId w:val="0"/>
        </w:numPr>
        <w:ind w:left="1701" w:hanging="1701"/>
        <w:jc w:val="left"/>
      </w:pPr>
      <w:r>
        <w:t>Observation 1</w:t>
      </w:r>
      <w:r>
        <w:tab/>
      </w:r>
      <w:r w:rsidR="00C27283">
        <w:t xml:space="preserve">For optimizing MN initiated </w:t>
      </w:r>
      <w:proofErr w:type="spellStart"/>
      <w:r w:rsidR="00C27283">
        <w:t>PSCell</w:t>
      </w:r>
      <w:proofErr w:type="spellEnd"/>
      <w:r w:rsidR="00C27283">
        <w:t xml:space="preserve"> change, the MN is not helped by knowing the values of the source SN T310/T312 timers</w:t>
      </w:r>
    </w:p>
    <w:p w14:paraId="4E56E848" w14:textId="2897345F" w:rsidR="00DA4C2B" w:rsidRDefault="00DA4C2B" w:rsidP="00DA4C2B">
      <w:pPr>
        <w:pStyle w:val="Observation"/>
        <w:numPr>
          <w:ilvl w:val="0"/>
          <w:numId w:val="0"/>
        </w:numPr>
        <w:ind w:left="1701" w:hanging="1701"/>
        <w:jc w:val="left"/>
      </w:pPr>
      <w:r>
        <w:t>Proposal 1</w:t>
      </w:r>
      <w:r>
        <w:tab/>
      </w:r>
      <w:r w:rsidRPr="00184241">
        <w:t xml:space="preserve">For MN-initiated classic </w:t>
      </w:r>
      <w:proofErr w:type="spellStart"/>
      <w:r w:rsidRPr="00184241">
        <w:t>PScell</w:t>
      </w:r>
      <w:proofErr w:type="spellEnd"/>
      <w:r w:rsidRPr="00184241">
        <w:t xml:space="preserve"> change /CPC, the MN node decides the T310/T312 triggers and performs root cause analysis</w:t>
      </w:r>
    </w:p>
    <w:p w14:paraId="43E84980" w14:textId="68576E74" w:rsidR="00DA4C2B" w:rsidRDefault="00DA4C2B" w:rsidP="00DA4C2B">
      <w:pPr>
        <w:pStyle w:val="Observation"/>
        <w:numPr>
          <w:ilvl w:val="0"/>
          <w:numId w:val="0"/>
        </w:numPr>
        <w:ind w:left="1701" w:hanging="1701"/>
        <w:jc w:val="left"/>
      </w:pPr>
      <w:r>
        <w:t>Observation 2</w:t>
      </w:r>
      <w:r>
        <w:tab/>
      </w:r>
      <w:r>
        <w:t>For configuring T31/T312 triggers, the MN does not know the timer values it will base its triggers on</w:t>
      </w:r>
    </w:p>
    <w:p w14:paraId="2F6EAC79" w14:textId="56FE6040" w:rsidR="009F0183" w:rsidRDefault="009F0183" w:rsidP="00DA4C2B">
      <w:pPr>
        <w:pStyle w:val="Observation"/>
        <w:numPr>
          <w:ilvl w:val="0"/>
          <w:numId w:val="0"/>
        </w:numPr>
        <w:ind w:left="1701" w:hanging="1701"/>
        <w:jc w:val="left"/>
      </w:pPr>
      <w:r>
        <w:t>Proposal 2</w:t>
      </w:r>
      <w:r>
        <w:tab/>
      </w:r>
      <w:r>
        <w:t xml:space="preserve">Define the T310/T312 triggers as a </w:t>
      </w:r>
      <w:proofErr w:type="spellStart"/>
      <w:r>
        <w:t>boolean</w:t>
      </w:r>
      <w:proofErr w:type="spellEnd"/>
      <w:r>
        <w:t xml:space="preserve"> values</w:t>
      </w:r>
    </w:p>
    <w:p w14:paraId="66826165" w14:textId="44452C6E" w:rsidR="00DA4C2B" w:rsidRDefault="00DA4C2B" w:rsidP="00DA4C2B">
      <w:pPr>
        <w:pStyle w:val="Observation"/>
        <w:numPr>
          <w:ilvl w:val="0"/>
          <w:numId w:val="0"/>
        </w:numPr>
        <w:ind w:left="1701" w:hanging="1701"/>
        <w:jc w:val="left"/>
      </w:pPr>
      <w:r>
        <w:t>Observation 3</w:t>
      </w:r>
      <w:r>
        <w:tab/>
      </w:r>
      <w:r>
        <w:t>RAN3 needs to define a way for a new node to forward the SPR to the original MN</w:t>
      </w:r>
    </w:p>
    <w:p w14:paraId="51567EF6" w14:textId="748E4940" w:rsidR="00DA4C2B" w:rsidRDefault="00DA4C2B" w:rsidP="00DA4C2B">
      <w:pPr>
        <w:pStyle w:val="Observation"/>
        <w:numPr>
          <w:ilvl w:val="0"/>
          <w:numId w:val="0"/>
        </w:numPr>
        <w:ind w:left="1701" w:hanging="1701"/>
        <w:jc w:val="left"/>
      </w:pPr>
      <w:r>
        <w:t>Proposal 3</w:t>
      </w:r>
      <w:r w:rsidR="009F0183">
        <w:tab/>
      </w:r>
      <w:r w:rsidR="009F0183" w:rsidRPr="00930A6E">
        <w:t>In case the SPR is fetched by a new node (i.e. not initial MN, source/target SN), the new node forwards it to the initial MN</w:t>
      </w:r>
    </w:p>
    <w:p w14:paraId="448E0252" w14:textId="0EEA1B44" w:rsidR="009F0183" w:rsidRDefault="009F0183" w:rsidP="00DA4C2B">
      <w:pPr>
        <w:pStyle w:val="Observation"/>
        <w:numPr>
          <w:ilvl w:val="0"/>
          <w:numId w:val="0"/>
        </w:numPr>
        <w:ind w:left="1701" w:hanging="1701"/>
        <w:jc w:val="left"/>
      </w:pPr>
      <w:r>
        <w:t>Proposal 4</w:t>
      </w:r>
      <w:r>
        <w:tab/>
      </w:r>
      <w:r>
        <w:t xml:space="preserve">For MN-initiated </w:t>
      </w:r>
      <w:proofErr w:type="spellStart"/>
      <w:r>
        <w:t>PSCell</w:t>
      </w:r>
      <w:proofErr w:type="spellEnd"/>
      <w:r>
        <w:t xml:space="preserve"> change, w</w:t>
      </w:r>
      <w:r w:rsidRPr="008E6B7C">
        <w:t xml:space="preserve">hen the </w:t>
      </w:r>
      <w:r>
        <w:t>SPR is triggered by T304, the timers are decided by the target SN, and the original MN shall send the SPR to the target SN for root cause analysis</w:t>
      </w:r>
    </w:p>
    <w:p w14:paraId="58DC4DDF" w14:textId="567DEF20" w:rsidR="009F0183" w:rsidRDefault="009F0183" w:rsidP="00DA4C2B">
      <w:pPr>
        <w:pStyle w:val="Observation"/>
        <w:numPr>
          <w:ilvl w:val="0"/>
          <w:numId w:val="0"/>
        </w:numPr>
        <w:ind w:left="1701" w:hanging="1701"/>
        <w:jc w:val="left"/>
      </w:pPr>
      <w:r>
        <w:t>Proposal 5</w:t>
      </w:r>
      <w:r>
        <w:tab/>
      </w:r>
      <w:r>
        <w:t xml:space="preserve">For the </w:t>
      </w:r>
      <w:r w:rsidRPr="008E6B7C">
        <w:t xml:space="preserve">intra-SN classic </w:t>
      </w:r>
      <w:proofErr w:type="spellStart"/>
      <w:r w:rsidRPr="008E6B7C">
        <w:t>PSCell</w:t>
      </w:r>
      <w:proofErr w:type="spellEnd"/>
      <w:r w:rsidRPr="008E6B7C">
        <w:t xml:space="preserve"> change/CPC use case</w:t>
      </w:r>
      <w:r>
        <w:t>, the original MN shall send the SPR to the source and target SN.</w:t>
      </w:r>
    </w:p>
    <w:p w14:paraId="627990E6" w14:textId="5BAD3480" w:rsidR="00DA4C2B" w:rsidRDefault="009F0183" w:rsidP="00DA4C2B">
      <w:pPr>
        <w:pStyle w:val="Observation"/>
        <w:numPr>
          <w:ilvl w:val="0"/>
          <w:numId w:val="0"/>
        </w:numPr>
        <w:ind w:left="1701" w:hanging="1701"/>
        <w:jc w:val="left"/>
      </w:pPr>
      <w:r>
        <w:t>Proposal 6</w:t>
      </w:r>
      <w:r>
        <w:tab/>
      </w:r>
      <w:r>
        <w:t>Send an LS to inform RAN2 on the RAN3 decision about the information to be included in the SPR</w:t>
      </w:r>
    </w:p>
    <w:p w14:paraId="421DBA3B" w14:textId="77777777" w:rsidR="00C27283" w:rsidRDefault="00C27283" w:rsidP="00C27283">
      <w:pPr>
        <w:pStyle w:val="Observation"/>
        <w:numPr>
          <w:ilvl w:val="0"/>
          <w:numId w:val="0"/>
        </w:numPr>
        <w:ind w:left="1701" w:hanging="1701"/>
        <w:jc w:val="left"/>
      </w:pPr>
    </w:p>
    <w:p w14:paraId="5A0085DC" w14:textId="4D8AA2DE" w:rsidR="00DC452A" w:rsidRDefault="004977FB" w:rsidP="009F0183">
      <w:pPr>
        <w:rPr>
          <w:b/>
          <w:bCs/>
        </w:rPr>
      </w:pPr>
      <w:r w:rsidRPr="00FE4DBF">
        <w:rPr>
          <w:b/>
          <w:bCs/>
          <w:lang w:val="sv-SE"/>
        </w:rPr>
        <w:t>SHR for intra-system inter-RAT</w:t>
      </w:r>
      <w:r w:rsidR="00011E6A" w:rsidRPr="00F70D99">
        <w:rPr>
          <w:b/>
          <w:bCs/>
        </w:rPr>
        <w:t>:</w:t>
      </w:r>
      <w:bookmarkEnd w:id="25"/>
    </w:p>
    <w:p w14:paraId="2A09FAAD" w14:textId="5844DD5E" w:rsidR="009F0183" w:rsidRDefault="009F0183" w:rsidP="009F0183">
      <w:pPr>
        <w:tabs>
          <w:tab w:val="left" w:pos="1620"/>
        </w:tabs>
        <w:ind w:left="1620" w:hanging="1620"/>
        <w:rPr>
          <w:rFonts w:cs="Arial"/>
          <w:b/>
          <w:bCs/>
        </w:rPr>
      </w:pPr>
      <w:r w:rsidRPr="009F0183">
        <w:rPr>
          <w:rFonts w:eastAsia="Times New Roman"/>
          <w:b/>
          <w:bCs/>
          <w:lang w:eastAsia="zh-CN"/>
        </w:rPr>
        <w:lastRenderedPageBreak/>
        <w:t>Observation 4</w:t>
      </w:r>
      <w:r>
        <w:rPr>
          <w:rFonts w:eastAsia="Times New Roman"/>
          <w:b/>
          <w:bCs/>
          <w:lang w:eastAsia="zh-CN"/>
        </w:rPr>
        <w:tab/>
      </w:r>
      <w:r w:rsidRPr="009F0183">
        <w:rPr>
          <w:rFonts w:eastAsia="Times New Roman"/>
          <w:b/>
          <w:bCs/>
          <w:lang w:eastAsia="zh-CN"/>
        </w:rPr>
        <w:t>Inter-RAT SHR cannot be used for improving the handover performance of the target (LTE) cell for NR to LTE</w:t>
      </w:r>
      <w:r>
        <w:rPr>
          <w:rFonts w:cs="Arial"/>
          <w:b/>
          <w:bCs/>
        </w:rPr>
        <w:t xml:space="preserve"> HO</w:t>
      </w:r>
    </w:p>
    <w:p w14:paraId="064DE789" w14:textId="20BBB6AB" w:rsidR="009F0183" w:rsidRDefault="009F0183" w:rsidP="009F0183">
      <w:pPr>
        <w:pStyle w:val="Proposal"/>
        <w:numPr>
          <w:ilvl w:val="0"/>
          <w:numId w:val="0"/>
        </w:numPr>
        <w:ind w:left="1304" w:hanging="1304"/>
      </w:pPr>
      <w:r>
        <w:t>Proposal 7</w:t>
      </w:r>
      <w:r>
        <w:tab/>
      </w:r>
      <w:r>
        <w:t xml:space="preserve">For </w:t>
      </w:r>
      <w:r w:rsidRPr="00F70D99">
        <w:t>Inter</w:t>
      </w:r>
      <w:r>
        <w:t>-RAT handover from NR to LTE, augment the SHR with a counter for the number of RACH attempts made for the successful handover</w:t>
      </w:r>
    </w:p>
    <w:p w14:paraId="75B81B61" w14:textId="5C5B7A23" w:rsidR="009F0183" w:rsidRDefault="009F0183" w:rsidP="009F0183">
      <w:pPr>
        <w:pStyle w:val="Proposal"/>
        <w:numPr>
          <w:ilvl w:val="0"/>
          <w:numId w:val="0"/>
        </w:numPr>
        <w:ind w:left="1304" w:hanging="1304"/>
      </w:pPr>
      <w:r>
        <w:t>Proposal 8</w:t>
      </w:r>
      <w:r>
        <w:tab/>
      </w:r>
      <w:r>
        <w:t>For Inter-RAT handover from NR to LTE, augment the SHR with a flag on whether contention was observed for the successful handover</w:t>
      </w:r>
    </w:p>
    <w:p w14:paraId="32FF4350" w14:textId="3600DA8A" w:rsidR="009F0183" w:rsidRDefault="009F0183" w:rsidP="009F0183">
      <w:pPr>
        <w:pStyle w:val="Proposal"/>
        <w:numPr>
          <w:ilvl w:val="0"/>
          <w:numId w:val="0"/>
        </w:numPr>
        <w:ind w:left="1304" w:hanging="1304"/>
        <w:jc w:val="left"/>
      </w:pPr>
      <w:r>
        <w:t>Proposal 9</w:t>
      </w:r>
      <w:r>
        <w:tab/>
      </w:r>
      <w:r>
        <w:t>For Inter-RAT handover from NR to LTE, enhance the inter-RAT SHR configuration with a triggering condition associated to the number of random accesses attempts toward the LTE cell</w:t>
      </w:r>
    </w:p>
    <w:p w14:paraId="51F846FC" w14:textId="08F4811A" w:rsidR="009F0183" w:rsidRDefault="009F0183" w:rsidP="009F0183">
      <w:pPr>
        <w:pStyle w:val="Proposal"/>
        <w:numPr>
          <w:ilvl w:val="0"/>
          <w:numId w:val="0"/>
        </w:numPr>
        <w:ind w:left="1304" w:hanging="1304"/>
        <w:jc w:val="left"/>
      </w:pPr>
      <w:r>
        <w:t xml:space="preserve">Proposal </w:t>
      </w:r>
      <w:r>
        <w:t>10</w:t>
      </w:r>
      <w:r>
        <w:tab/>
        <w:t>For NG-RAN to E-UTRAN HO, SHR is fetched when UE returns to NG-RAN</w:t>
      </w:r>
    </w:p>
    <w:p w14:paraId="46F154E1" w14:textId="7FFC6C1F" w:rsidR="009F0183" w:rsidRDefault="009F0183" w:rsidP="009F0183">
      <w:pPr>
        <w:tabs>
          <w:tab w:val="left" w:pos="1620"/>
        </w:tabs>
        <w:ind w:left="1620" w:hanging="1620"/>
        <w:rPr>
          <w:b/>
          <w:bCs/>
        </w:rPr>
      </w:pPr>
      <w:r w:rsidRPr="009F0183">
        <w:rPr>
          <w:rFonts w:cs="Arial"/>
          <w:b/>
          <w:bCs/>
        </w:rPr>
        <w:t>Observation 5</w:t>
      </w:r>
      <w:r w:rsidRPr="009F0183">
        <w:rPr>
          <w:rFonts w:cs="Arial"/>
          <w:b/>
          <w:bCs/>
        </w:rPr>
        <w:tab/>
      </w:r>
      <w:r w:rsidRPr="009F0183">
        <w:rPr>
          <w:b/>
          <w:bCs/>
        </w:rPr>
        <w:t>For a SHR generated for a NR-to-LTE handover, the SHR can be reported to the source node only when the UE returns to the NR network. This can take up to 48 hours</w:t>
      </w:r>
    </w:p>
    <w:p w14:paraId="26B696BC" w14:textId="497C6F9C" w:rsidR="009F0183" w:rsidRDefault="009F0183" w:rsidP="009F0183">
      <w:pPr>
        <w:tabs>
          <w:tab w:val="left" w:pos="1620"/>
        </w:tabs>
        <w:ind w:left="1620" w:hanging="1620"/>
        <w:rPr>
          <w:rFonts w:cs="Arial"/>
          <w:b/>
          <w:bCs/>
        </w:rPr>
      </w:pPr>
      <w:r>
        <w:rPr>
          <w:rFonts w:cs="Arial"/>
          <w:b/>
          <w:bCs/>
        </w:rPr>
        <w:t>Proposal 11</w:t>
      </w:r>
      <w:r>
        <w:rPr>
          <w:rFonts w:cs="Arial"/>
          <w:b/>
          <w:bCs/>
        </w:rPr>
        <w:tab/>
      </w:r>
      <w:r w:rsidRPr="009F0183">
        <w:rPr>
          <w:rFonts w:cs="Arial"/>
          <w:b/>
          <w:bCs/>
        </w:rPr>
        <w:t>Proposal 11</w:t>
      </w:r>
      <w:r w:rsidRPr="009F0183">
        <w:rPr>
          <w:rFonts w:cs="Arial"/>
          <w:b/>
          <w:bCs/>
        </w:rPr>
        <w:tab/>
        <w:t>Intra-NR SHR and Inter-RAT SHR to include the time between report generation and report fetching</w:t>
      </w:r>
    </w:p>
    <w:p w14:paraId="74FBDBE6" w14:textId="7317A650" w:rsidR="009F0183" w:rsidRPr="009F0183" w:rsidRDefault="009F0183" w:rsidP="009F0183">
      <w:pPr>
        <w:tabs>
          <w:tab w:val="left" w:pos="1620"/>
        </w:tabs>
        <w:ind w:left="1620" w:hanging="1620"/>
        <w:rPr>
          <w:rFonts w:cs="Arial"/>
          <w:b/>
          <w:bCs/>
        </w:rPr>
      </w:pPr>
      <w:r>
        <w:rPr>
          <w:rFonts w:cs="Arial"/>
          <w:b/>
          <w:bCs/>
        </w:rPr>
        <w:t>Proposal 12</w:t>
      </w:r>
      <w:r>
        <w:tab/>
      </w:r>
      <w:r w:rsidRPr="009F0183">
        <w:rPr>
          <w:rFonts w:cs="Arial"/>
          <w:b/>
          <w:bCs/>
        </w:rPr>
        <w:t xml:space="preserve">Reuse </w:t>
      </w:r>
      <w:proofErr w:type="spellStart"/>
      <w:r w:rsidRPr="009F0183">
        <w:rPr>
          <w:rFonts w:cs="Arial"/>
          <w:b/>
          <w:bCs/>
        </w:rPr>
        <w:t>Xn</w:t>
      </w:r>
      <w:proofErr w:type="spellEnd"/>
      <w:r w:rsidRPr="009F0183">
        <w:rPr>
          <w:rFonts w:cs="Arial"/>
          <w:b/>
          <w:bCs/>
        </w:rPr>
        <w:t xml:space="preserve"> ACCESS AND MOBILITY INDICATION for forwarding the Inter-RAT SHR from the retrieving NR node to the source NR node</w:t>
      </w:r>
    </w:p>
    <w:p w14:paraId="6F879DE6" w14:textId="77777777" w:rsidR="009F0183" w:rsidRPr="009F0183" w:rsidRDefault="009F0183" w:rsidP="009F0183">
      <w:pPr>
        <w:rPr>
          <w:b/>
          <w:bCs/>
        </w:rPr>
      </w:pPr>
    </w:p>
    <w:sectPr w:rsidR="009F0183" w:rsidRPr="009F0183" w:rsidSect="00E71F43">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33864" w14:textId="77777777" w:rsidR="00DA6A39" w:rsidRDefault="00DA6A39">
      <w:r>
        <w:separator/>
      </w:r>
    </w:p>
  </w:endnote>
  <w:endnote w:type="continuationSeparator" w:id="0">
    <w:p w14:paraId="139C559A" w14:textId="77777777" w:rsidR="00DA6A39" w:rsidRDefault="00DA6A39">
      <w:r>
        <w:continuationSeparator/>
      </w:r>
    </w:p>
  </w:endnote>
  <w:endnote w:type="continuationNotice" w:id="1">
    <w:p w14:paraId="041A3268" w14:textId="77777777" w:rsidR="00DA6A39" w:rsidRDefault="00DA6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3992"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53586D"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45F1"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59511AF" w14:textId="77777777" w:rsidR="006A461D" w:rsidRDefault="006A461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4C3F9" w14:textId="77777777" w:rsidR="00004B34" w:rsidRDefault="00004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8C3C2" w14:textId="77777777" w:rsidR="00DA6A39" w:rsidRDefault="00DA6A39">
      <w:r>
        <w:separator/>
      </w:r>
    </w:p>
  </w:footnote>
  <w:footnote w:type="continuationSeparator" w:id="0">
    <w:p w14:paraId="6D6DC5E3" w14:textId="77777777" w:rsidR="00DA6A39" w:rsidRDefault="00DA6A39">
      <w:r>
        <w:continuationSeparator/>
      </w:r>
    </w:p>
  </w:footnote>
  <w:footnote w:type="continuationNotice" w:id="1">
    <w:p w14:paraId="657C5DFD" w14:textId="77777777" w:rsidR="00DA6A39" w:rsidRDefault="00DA6A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A5753" w14:textId="77777777" w:rsidR="00004B34" w:rsidRDefault="00004B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CA258" w14:textId="77777777" w:rsidR="00004B34" w:rsidRDefault="00004B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72576" w14:textId="77777777" w:rsidR="00004B34" w:rsidRDefault="00004B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F84FB6"/>
    <w:lvl w:ilvl="0">
      <w:start w:val="1"/>
      <w:numFmt w:val="decimal"/>
      <w:pStyle w:val="ListNumber"/>
      <w:lvlText w:val="%1."/>
      <w:lvlJc w:val="left"/>
      <w:pPr>
        <w:tabs>
          <w:tab w:val="num" w:pos="360"/>
        </w:tabs>
        <w:ind w:left="360" w:hanging="360"/>
      </w:pPr>
    </w:lvl>
  </w:abstractNum>
  <w:abstractNum w:abstractNumId="1" w15:restartNumberingAfterBreak="0">
    <w:nsid w:val="1A101303"/>
    <w:multiLevelType w:val="hybridMultilevel"/>
    <w:tmpl w:val="F7062E54"/>
    <w:lvl w:ilvl="0" w:tplc="20000011">
      <w:start w:val="1"/>
      <w:numFmt w:val="decimal"/>
      <w:lvlText w:val="%1)"/>
      <w:lvlJc w:val="left"/>
      <w:pPr>
        <w:ind w:left="1979" w:hanging="360"/>
      </w:pPr>
      <w:rPr>
        <w:rFonts w:hint="default"/>
      </w:rPr>
    </w:lvl>
    <w:lvl w:ilvl="1" w:tplc="FFFFFFFF">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 w15:restartNumberingAfterBreak="0">
    <w:nsid w:val="2C0C7CF6"/>
    <w:multiLevelType w:val="hybridMultilevel"/>
    <w:tmpl w:val="7744F98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7655FF4"/>
    <w:multiLevelType w:val="hybridMultilevel"/>
    <w:tmpl w:val="A070838A"/>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AA46647"/>
    <w:multiLevelType w:val="hybridMultilevel"/>
    <w:tmpl w:val="A912CBE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550B62"/>
    <w:multiLevelType w:val="hybridMultilevel"/>
    <w:tmpl w:val="A6EA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6F1EB8"/>
    <w:multiLevelType w:val="hybridMultilevel"/>
    <w:tmpl w:val="599639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4BC17690"/>
    <w:multiLevelType w:val="hybridMultilevel"/>
    <w:tmpl w:val="A44EF6F6"/>
    <w:lvl w:ilvl="0" w:tplc="F0C8DA3A">
      <w:start w:val="1"/>
      <w:numFmt w:val="bullet"/>
      <w:lvlText w:val=""/>
      <w:lvlJc w:val="left"/>
      <w:pPr>
        <w:tabs>
          <w:tab w:val="num" w:pos="720"/>
        </w:tabs>
        <w:ind w:left="720" w:hanging="360"/>
      </w:pPr>
      <w:rPr>
        <w:rFonts w:ascii="Symbol" w:hAnsi="Symbol" w:hint="default"/>
      </w:rPr>
    </w:lvl>
    <w:lvl w:ilvl="1" w:tplc="70B8C6B6">
      <w:start w:val="1"/>
      <w:numFmt w:val="bullet"/>
      <w:lvlText w:val=""/>
      <w:lvlJc w:val="left"/>
      <w:pPr>
        <w:tabs>
          <w:tab w:val="num" w:pos="1440"/>
        </w:tabs>
        <w:ind w:left="1440" w:hanging="360"/>
      </w:pPr>
      <w:rPr>
        <w:rFonts w:ascii="Symbol" w:hAnsi="Symbol" w:hint="default"/>
      </w:rPr>
    </w:lvl>
    <w:lvl w:ilvl="2" w:tplc="AC34F582" w:tentative="1">
      <w:start w:val="1"/>
      <w:numFmt w:val="bullet"/>
      <w:lvlText w:val=""/>
      <w:lvlJc w:val="left"/>
      <w:pPr>
        <w:tabs>
          <w:tab w:val="num" w:pos="2160"/>
        </w:tabs>
        <w:ind w:left="2160" w:hanging="360"/>
      </w:pPr>
      <w:rPr>
        <w:rFonts w:ascii="Symbol" w:hAnsi="Symbol" w:hint="default"/>
      </w:rPr>
    </w:lvl>
    <w:lvl w:ilvl="3" w:tplc="3A22B526" w:tentative="1">
      <w:start w:val="1"/>
      <w:numFmt w:val="bullet"/>
      <w:lvlText w:val=""/>
      <w:lvlJc w:val="left"/>
      <w:pPr>
        <w:tabs>
          <w:tab w:val="num" w:pos="2880"/>
        </w:tabs>
        <w:ind w:left="2880" w:hanging="360"/>
      </w:pPr>
      <w:rPr>
        <w:rFonts w:ascii="Symbol" w:hAnsi="Symbol" w:hint="default"/>
      </w:rPr>
    </w:lvl>
    <w:lvl w:ilvl="4" w:tplc="FDBE19B6" w:tentative="1">
      <w:start w:val="1"/>
      <w:numFmt w:val="bullet"/>
      <w:lvlText w:val=""/>
      <w:lvlJc w:val="left"/>
      <w:pPr>
        <w:tabs>
          <w:tab w:val="num" w:pos="3600"/>
        </w:tabs>
        <w:ind w:left="3600" w:hanging="360"/>
      </w:pPr>
      <w:rPr>
        <w:rFonts w:ascii="Symbol" w:hAnsi="Symbol" w:hint="default"/>
      </w:rPr>
    </w:lvl>
    <w:lvl w:ilvl="5" w:tplc="A3989D10" w:tentative="1">
      <w:start w:val="1"/>
      <w:numFmt w:val="bullet"/>
      <w:lvlText w:val=""/>
      <w:lvlJc w:val="left"/>
      <w:pPr>
        <w:tabs>
          <w:tab w:val="num" w:pos="4320"/>
        </w:tabs>
        <w:ind w:left="4320" w:hanging="360"/>
      </w:pPr>
      <w:rPr>
        <w:rFonts w:ascii="Symbol" w:hAnsi="Symbol" w:hint="default"/>
      </w:rPr>
    </w:lvl>
    <w:lvl w:ilvl="6" w:tplc="155856D0" w:tentative="1">
      <w:start w:val="1"/>
      <w:numFmt w:val="bullet"/>
      <w:lvlText w:val=""/>
      <w:lvlJc w:val="left"/>
      <w:pPr>
        <w:tabs>
          <w:tab w:val="num" w:pos="5040"/>
        </w:tabs>
        <w:ind w:left="5040" w:hanging="360"/>
      </w:pPr>
      <w:rPr>
        <w:rFonts w:ascii="Symbol" w:hAnsi="Symbol" w:hint="default"/>
      </w:rPr>
    </w:lvl>
    <w:lvl w:ilvl="7" w:tplc="C7942A0C" w:tentative="1">
      <w:start w:val="1"/>
      <w:numFmt w:val="bullet"/>
      <w:lvlText w:val=""/>
      <w:lvlJc w:val="left"/>
      <w:pPr>
        <w:tabs>
          <w:tab w:val="num" w:pos="5760"/>
        </w:tabs>
        <w:ind w:left="5760" w:hanging="360"/>
      </w:pPr>
      <w:rPr>
        <w:rFonts w:ascii="Symbol" w:hAnsi="Symbol" w:hint="default"/>
      </w:rPr>
    </w:lvl>
    <w:lvl w:ilvl="8" w:tplc="8FC623B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E42354"/>
    <w:multiLevelType w:val="hybridMultilevel"/>
    <w:tmpl w:val="12D84690"/>
    <w:lvl w:ilvl="0" w:tplc="7AE4F5D8">
      <w:start w:val="1"/>
      <w:numFmt w:val="bullet"/>
      <w:lvlText w:val=""/>
      <w:lvlJc w:val="left"/>
      <w:pPr>
        <w:tabs>
          <w:tab w:val="num" w:pos="720"/>
        </w:tabs>
        <w:ind w:left="720" w:hanging="360"/>
      </w:pPr>
      <w:rPr>
        <w:rFonts w:ascii="Symbol" w:hAnsi="Symbol" w:hint="default"/>
      </w:rPr>
    </w:lvl>
    <w:lvl w:ilvl="1" w:tplc="24846826" w:tentative="1">
      <w:start w:val="1"/>
      <w:numFmt w:val="bullet"/>
      <w:lvlText w:val=""/>
      <w:lvlJc w:val="left"/>
      <w:pPr>
        <w:tabs>
          <w:tab w:val="num" w:pos="1440"/>
        </w:tabs>
        <w:ind w:left="1440" w:hanging="360"/>
      </w:pPr>
      <w:rPr>
        <w:rFonts w:ascii="Symbol" w:hAnsi="Symbol" w:hint="default"/>
      </w:rPr>
    </w:lvl>
    <w:lvl w:ilvl="2" w:tplc="075E0B30">
      <w:start w:val="1"/>
      <w:numFmt w:val="bullet"/>
      <w:lvlText w:val=""/>
      <w:lvlJc w:val="left"/>
      <w:pPr>
        <w:tabs>
          <w:tab w:val="num" w:pos="2160"/>
        </w:tabs>
        <w:ind w:left="2160" w:hanging="360"/>
      </w:pPr>
      <w:rPr>
        <w:rFonts w:ascii="Symbol" w:hAnsi="Symbol" w:hint="default"/>
      </w:rPr>
    </w:lvl>
    <w:lvl w:ilvl="3" w:tplc="6A84E81C" w:tentative="1">
      <w:start w:val="1"/>
      <w:numFmt w:val="bullet"/>
      <w:lvlText w:val=""/>
      <w:lvlJc w:val="left"/>
      <w:pPr>
        <w:tabs>
          <w:tab w:val="num" w:pos="2880"/>
        </w:tabs>
        <w:ind w:left="2880" w:hanging="360"/>
      </w:pPr>
      <w:rPr>
        <w:rFonts w:ascii="Symbol" w:hAnsi="Symbol" w:hint="default"/>
      </w:rPr>
    </w:lvl>
    <w:lvl w:ilvl="4" w:tplc="2C341380" w:tentative="1">
      <w:start w:val="1"/>
      <w:numFmt w:val="bullet"/>
      <w:lvlText w:val=""/>
      <w:lvlJc w:val="left"/>
      <w:pPr>
        <w:tabs>
          <w:tab w:val="num" w:pos="3600"/>
        </w:tabs>
        <w:ind w:left="3600" w:hanging="360"/>
      </w:pPr>
      <w:rPr>
        <w:rFonts w:ascii="Symbol" w:hAnsi="Symbol" w:hint="default"/>
      </w:rPr>
    </w:lvl>
    <w:lvl w:ilvl="5" w:tplc="603098A4" w:tentative="1">
      <w:start w:val="1"/>
      <w:numFmt w:val="bullet"/>
      <w:lvlText w:val=""/>
      <w:lvlJc w:val="left"/>
      <w:pPr>
        <w:tabs>
          <w:tab w:val="num" w:pos="4320"/>
        </w:tabs>
        <w:ind w:left="4320" w:hanging="360"/>
      </w:pPr>
      <w:rPr>
        <w:rFonts w:ascii="Symbol" w:hAnsi="Symbol" w:hint="default"/>
      </w:rPr>
    </w:lvl>
    <w:lvl w:ilvl="6" w:tplc="47EEE330" w:tentative="1">
      <w:start w:val="1"/>
      <w:numFmt w:val="bullet"/>
      <w:lvlText w:val=""/>
      <w:lvlJc w:val="left"/>
      <w:pPr>
        <w:tabs>
          <w:tab w:val="num" w:pos="5040"/>
        </w:tabs>
        <w:ind w:left="5040" w:hanging="360"/>
      </w:pPr>
      <w:rPr>
        <w:rFonts w:ascii="Symbol" w:hAnsi="Symbol" w:hint="default"/>
      </w:rPr>
    </w:lvl>
    <w:lvl w:ilvl="7" w:tplc="31E6AC98" w:tentative="1">
      <w:start w:val="1"/>
      <w:numFmt w:val="bullet"/>
      <w:lvlText w:val=""/>
      <w:lvlJc w:val="left"/>
      <w:pPr>
        <w:tabs>
          <w:tab w:val="num" w:pos="5760"/>
        </w:tabs>
        <w:ind w:left="5760" w:hanging="360"/>
      </w:pPr>
      <w:rPr>
        <w:rFonts w:ascii="Symbol" w:hAnsi="Symbol" w:hint="default"/>
      </w:rPr>
    </w:lvl>
    <w:lvl w:ilvl="8" w:tplc="B2783CC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9BA0EB2"/>
    <w:multiLevelType w:val="hybridMultilevel"/>
    <w:tmpl w:val="01B03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7C37A6"/>
    <w:multiLevelType w:val="hybridMultilevel"/>
    <w:tmpl w:val="4EC2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9B4060"/>
    <w:multiLevelType w:val="hybridMultilevel"/>
    <w:tmpl w:val="BC62B53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B0C7DC0"/>
    <w:multiLevelType w:val="hybridMultilevel"/>
    <w:tmpl w:val="06426E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EE5C1B"/>
    <w:multiLevelType w:val="hybridMultilevel"/>
    <w:tmpl w:val="70D03EAA"/>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EFF45C4"/>
    <w:multiLevelType w:val="hybridMultilevel"/>
    <w:tmpl w:val="62B2CDF6"/>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95249023">
    <w:abstractNumId w:val="0"/>
  </w:num>
  <w:num w:numId="2" w16cid:durableId="641814964">
    <w:abstractNumId w:val="4"/>
  </w:num>
  <w:num w:numId="3" w16cid:durableId="576673672">
    <w:abstractNumId w:val="8"/>
  </w:num>
  <w:num w:numId="4" w16cid:durableId="1972897750">
    <w:abstractNumId w:val="11"/>
  </w:num>
  <w:num w:numId="5" w16cid:durableId="1465854021">
    <w:abstractNumId w:val="5"/>
  </w:num>
  <w:num w:numId="6" w16cid:durableId="417756076">
    <w:abstractNumId w:val="10"/>
  </w:num>
  <w:num w:numId="7" w16cid:durableId="1650400409">
    <w:abstractNumId w:val="13"/>
  </w:num>
  <w:num w:numId="8" w16cid:durableId="390422210">
    <w:abstractNumId w:val="1"/>
  </w:num>
  <w:num w:numId="9" w16cid:durableId="1530873888">
    <w:abstractNumId w:val="4"/>
    <w:lvlOverride w:ilvl="0">
      <w:startOverride w:val="1"/>
    </w:lvlOverride>
  </w:num>
  <w:num w:numId="10" w16cid:durableId="26149174">
    <w:abstractNumId w:val="7"/>
  </w:num>
  <w:num w:numId="11" w16cid:durableId="731319373">
    <w:abstractNumId w:val="9"/>
  </w:num>
  <w:num w:numId="12" w16cid:durableId="1762410898">
    <w:abstractNumId w:val="6"/>
  </w:num>
  <w:num w:numId="13" w16cid:durableId="632829614">
    <w:abstractNumId w:val="14"/>
  </w:num>
  <w:num w:numId="14" w16cid:durableId="1632249185">
    <w:abstractNumId w:val="2"/>
  </w:num>
  <w:num w:numId="15" w16cid:durableId="2038850292">
    <w:abstractNumId w:val="12"/>
  </w:num>
  <w:num w:numId="16" w16cid:durableId="720207504">
    <w:abstractNumId w:val="3"/>
  </w:num>
  <w:num w:numId="17" w16cid:durableId="719942910">
    <w:abstractNumId w:val="15"/>
  </w:num>
  <w:num w:numId="18" w16cid:durableId="2019580249">
    <w:abstractNumId w:val="4"/>
  </w:num>
  <w:num w:numId="19" w16cid:durableId="1046755124">
    <w:abstractNumId w:val="8"/>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3BF6"/>
    <w:rsid w:val="00004A98"/>
    <w:rsid w:val="00004B34"/>
    <w:rsid w:val="0001024C"/>
    <w:rsid w:val="00010D73"/>
    <w:rsid w:val="00011E6A"/>
    <w:rsid w:val="00015B93"/>
    <w:rsid w:val="000232DC"/>
    <w:rsid w:val="000233A4"/>
    <w:rsid w:val="000267EE"/>
    <w:rsid w:val="00026DC1"/>
    <w:rsid w:val="000314B7"/>
    <w:rsid w:val="00036721"/>
    <w:rsid w:val="00041461"/>
    <w:rsid w:val="00043C35"/>
    <w:rsid w:val="00062261"/>
    <w:rsid w:val="000640DF"/>
    <w:rsid w:val="000667D0"/>
    <w:rsid w:val="00077EDC"/>
    <w:rsid w:val="0008219A"/>
    <w:rsid w:val="000824C0"/>
    <w:rsid w:val="00086F7B"/>
    <w:rsid w:val="00091148"/>
    <w:rsid w:val="000A05B2"/>
    <w:rsid w:val="000A0A38"/>
    <w:rsid w:val="000A2E1D"/>
    <w:rsid w:val="000B402C"/>
    <w:rsid w:val="000B45AC"/>
    <w:rsid w:val="000C2BFF"/>
    <w:rsid w:val="000C4641"/>
    <w:rsid w:val="000C716F"/>
    <w:rsid w:val="000D1A66"/>
    <w:rsid w:val="000E0927"/>
    <w:rsid w:val="000F02C3"/>
    <w:rsid w:val="00103609"/>
    <w:rsid w:val="001067DE"/>
    <w:rsid w:val="00113584"/>
    <w:rsid w:val="00117327"/>
    <w:rsid w:val="00122EA7"/>
    <w:rsid w:val="0012481C"/>
    <w:rsid w:val="00126984"/>
    <w:rsid w:val="00126BE6"/>
    <w:rsid w:val="00130CEA"/>
    <w:rsid w:val="001319AB"/>
    <w:rsid w:val="001319B7"/>
    <w:rsid w:val="00132ECD"/>
    <w:rsid w:val="001376D7"/>
    <w:rsid w:val="0014067A"/>
    <w:rsid w:val="00142EED"/>
    <w:rsid w:val="00150803"/>
    <w:rsid w:val="001572F8"/>
    <w:rsid w:val="001601A9"/>
    <w:rsid w:val="00162A98"/>
    <w:rsid w:val="001721F6"/>
    <w:rsid w:val="00176404"/>
    <w:rsid w:val="00184241"/>
    <w:rsid w:val="001911FC"/>
    <w:rsid w:val="001935E7"/>
    <w:rsid w:val="00196CD1"/>
    <w:rsid w:val="001A1503"/>
    <w:rsid w:val="001A6FC9"/>
    <w:rsid w:val="001B23FE"/>
    <w:rsid w:val="001B6C94"/>
    <w:rsid w:val="001C29D9"/>
    <w:rsid w:val="001C55BE"/>
    <w:rsid w:val="001C680A"/>
    <w:rsid w:val="001D1142"/>
    <w:rsid w:val="001D3360"/>
    <w:rsid w:val="001D70F9"/>
    <w:rsid w:val="001E0296"/>
    <w:rsid w:val="001E2A81"/>
    <w:rsid w:val="001E3EEB"/>
    <w:rsid w:val="001F0CE1"/>
    <w:rsid w:val="00200935"/>
    <w:rsid w:val="002014BA"/>
    <w:rsid w:val="0020649D"/>
    <w:rsid w:val="0020669C"/>
    <w:rsid w:val="002174CA"/>
    <w:rsid w:val="002177A7"/>
    <w:rsid w:val="00217E18"/>
    <w:rsid w:val="002300C6"/>
    <w:rsid w:val="00230764"/>
    <w:rsid w:val="00231723"/>
    <w:rsid w:val="002336F5"/>
    <w:rsid w:val="00233A9F"/>
    <w:rsid w:val="00237F7C"/>
    <w:rsid w:val="00246021"/>
    <w:rsid w:val="00247F22"/>
    <w:rsid w:val="00250D47"/>
    <w:rsid w:val="0025203F"/>
    <w:rsid w:val="0025702C"/>
    <w:rsid w:val="002611A3"/>
    <w:rsid w:val="00262C6E"/>
    <w:rsid w:val="00266782"/>
    <w:rsid w:val="00270E1B"/>
    <w:rsid w:val="00271473"/>
    <w:rsid w:val="00283AD3"/>
    <w:rsid w:val="00283DCF"/>
    <w:rsid w:val="00283F3F"/>
    <w:rsid w:val="00284E91"/>
    <w:rsid w:val="00285B86"/>
    <w:rsid w:val="002864DB"/>
    <w:rsid w:val="00286604"/>
    <w:rsid w:val="00287557"/>
    <w:rsid w:val="00294C24"/>
    <w:rsid w:val="002961B2"/>
    <w:rsid w:val="002A430F"/>
    <w:rsid w:val="002A651B"/>
    <w:rsid w:val="002A739F"/>
    <w:rsid w:val="002B46EF"/>
    <w:rsid w:val="002C42E7"/>
    <w:rsid w:val="002C47FE"/>
    <w:rsid w:val="002E15F1"/>
    <w:rsid w:val="002E2681"/>
    <w:rsid w:val="002E62E4"/>
    <w:rsid w:val="002F23AD"/>
    <w:rsid w:val="002F4084"/>
    <w:rsid w:val="00301870"/>
    <w:rsid w:val="00305FE0"/>
    <w:rsid w:val="003074E1"/>
    <w:rsid w:val="00310A87"/>
    <w:rsid w:val="003130D4"/>
    <w:rsid w:val="003223B8"/>
    <w:rsid w:val="003229C8"/>
    <w:rsid w:val="00334CB7"/>
    <w:rsid w:val="00334E6F"/>
    <w:rsid w:val="00343313"/>
    <w:rsid w:val="00346607"/>
    <w:rsid w:val="00347CA6"/>
    <w:rsid w:val="003514CE"/>
    <w:rsid w:val="0035327F"/>
    <w:rsid w:val="00354E73"/>
    <w:rsid w:val="00355239"/>
    <w:rsid w:val="00362FD6"/>
    <w:rsid w:val="003653DF"/>
    <w:rsid w:val="003658DB"/>
    <w:rsid w:val="00372F08"/>
    <w:rsid w:val="0037784B"/>
    <w:rsid w:val="00383916"/>
    <w:rsid w:val="00383DB3"/>
    <w:rsid w:val="00393F21"/>
    <w:rsid w:val="00396523"/>
    <w:rsid w:val="003A0811"/>
    <w:rsid w:val="003A3D5F"/>
    <w:rsid w:val="003A72C5"/>
    <w:rsid w:val="003A7669"/>
    <w:rsid w:val="003B1332"/>
    <w:rsid w:val="003B14D7"/>
    <w:rsid w:val="003B1B26"/>
    <w:rsid w:val="003B5DB4"/>
    <w:rsid w:val="003C2BA9"/>
    <w:rsid w:val="003C46AA"/>
    <w:rsid w:val="003C4FDB"/>
    <w:rsid w:val="003D096D"/>
    <w:rsid w:val="003D108B"/>
    <w:rsid w:val="003D15C1"/>
    <w:rsid w:val="003D1F61"/>
    <w:rsid w:val="003D4E63"/>
    <w:rsid w:val="003E0559"/>
    <w:rsid w:val="003F038F"/>
    <w:rsid w:val="003F04CA"/>
    <w:rsid w:val="003F1DA7"/>
    <w:rsid w:val="003F39B5"/>
    <w:rsid w:val="003F438B"/>
    <w:rsid w:val="003F49ED"/>
    <w:rsid w:val="003F51EC"/>
    <w:rsid w:val="003F5EEE"/>
    <w:rsid w:val="00411D55"/>
    <w:rsid w:val="00412C70"/>
    <w:rsid w:val="004233F4"/>
    <w:rsid w:val="00426942"/>
    <w:rsid w:val="00431125"/>
    <w:rsid w:val="004362C7"/>
    <w:rsid w:val="00440215"/>
    <w:rsid w:val="00440EB3"/>
    <w:rsid w:val="004457A0"/>
    <w:rsid w:val="0044643C"/>
    <w:rsid w:val="00447F3A"/>
    <w:rsid w:val="00453215"/>
    <w:rsid w:val="00456756"/>
    <w:rsid w:val="00456836"/>
    <w:rsid w:val="00461F19"/>
    <w:rsid w:val="00464F3D"/>
    <w:rsid w:val="00466AB2"/>
    <w:rsid w:val="00467D9A"/>
    <w:rsid w:val="00471C37"/>
    <w:rsid w:val="004730E9"/>
    <w:rsid w:val="00473466"/>
    <w:rsid w:val="00473501"/>
    <w:rsid w:val="00474F20"/>
    <w:rsid w:val="0048083B"/>
    <w:rsid w:val="00481BD2"/>
    <w:rsid w:val="00483A1C"/>
    <w:rsid w:val="00486091"/>
    <w:rsid w:val="0049527E"/>
    <w:rsid w:val="0049743E"/>
    <w:rsid w:val="004977FB"/>
    <w:rsid w:val="004A2020"/>
    <w:rsid w:val="004A2BC3"/>
    <w:rsid w:val="004A30CB"/>
    <w:rsid w:val="004A605A"/>
    <w:rsid w:val="004A7514"/>
    <w:rsid w:val="004B1023"/>
    <w:rsid w:val="004C1526"/>
    <w:rsid w:val="004D62BD"/>
    <w:rsid w:val="004D741D"/>
    <w:rsid w:val="004E0BE7"/>
    <w:rsid w:val="004E3A07"/>
    <w:rsid w:val="004E3AF3"/>
    <w:rsid w:val="004E5AC2"/>
    <w:rsid w:val="004F4425"/>
    <w:rsid w:val="004F44C7"/>
    <w:rsid w:val="004F4A48"/>
    <w:rsid w:val="004F6DFB"/>
    <w:rsid w:val="00501135"/>
    <w:rsid w:val="00502392"/>
    <w:rsid w:val="00503AD8"/>
    <w:rsid w:val="00507D9D"/>
    <w:rsid w:val="00512DAE"/>
    <w:rsid w:val="00521D84"/>
    <w:rsid w:val="00527F14"/>
    <w:rsid w:val="0053799E"/>
    <w:rsid w:val="005475C5"/>
    <w:rsid w:val="00557A21"/>
    <w:rsid w:val="005638CE"/>
    <w:rsid w:val="00564AB3"/>
    <w:rsid w:val="005712E4"/>
    <w:rsid w:val="005718AB"/>
    <w:rsid w:val="00574FCF"/>
    <w:rsid w:val="00580121"/>
    <w:rsid w:val="00581C35"/>
    <w:rsid w:val="005855D2"/>
    <w:rsid w:val="00590A2E"/>
    <w:rsid w:val="005A05E5"/>
    <w:rsid w:val="005A1D2C"/>
    <w:rsid w:val="005A67A8"/>
    <w:rsid w:val="005B14C0"/>
    <w:rsid w:val="005B509D"/>
    <w:rsid w:val="005B6E2E"/>
    <w:rsid w:val="005B6EEF"/>
    <w:rsid w:val="005B7501"/>
    <w:rsid w:val="005C03F7"/>
    <w:rsid w:val="005C1208"/>
    <w:rsid w:val="005C2738"/>
    <w:rsid w:val="005D0EC8"/>
    <w:rsid w:val="005E02AC"/>
    <w:rsid w:val="005E193E"/>
    <w:rsid w:val="005E51D2"/>
    <w:rsid w:val="005E68AB"/>
    <w:rsid w:val="005F0B76"/>
    <w:rsid w:val="005F7B5E"/>
    <w:rsid w:val="0060382C"/>
    <w:rsid w:val="00603B97"/>
    <w:rsid w:val="00604237"/>
    <w:rsid w:val="0060423C"/>
    <w:rsid w:val="006103E2"/>
    <w:rsid w:val="00617344"/>
    <w:rsid w:val="00620E77"/>
    <w:rsid w:val="00621F97"/>
    <w:rsid w:val="0062352A"/>
    <w:rsid w:val="00623C30"/>
    <w:rsid w:val="00624F2D"/>
    <w:rsid w:val="006264D8"/>
    <w:rsid w:val="00631729"/>
    <w:rsid w:val="00631954"/>
    <w:rsid w:val="00633C59"/>
    <w:rsid w:val="006367F1"/>
    <w:rsid w:val="00636E58"/>
    <w:rsid w:val="00643CD9"/>
    <w:rsid w:val="0064585D"/>
    <w:rsid w:val="006463C3"/>
    <w:rsid w:val="00651202"/>
    <w:rsid w:val="00665891"/>
    <w:rsid w:val="00667AF9"/>
    <w:rsid w:val="0067411A"/>
    <w:rsid w:val="0067651F"/>
    <w:rsid w:val="00681395"/>
    <w:rsid w:val="00681E22"/>
    <w:rsid w:val="00682BF4"/>
    <w:rsid w:val="00690611"/>
    <w:rsid w:val="00692475"/>
    <w:rsid w:val="00695695"/>
    <w:rsid w:val="00696AF3"/>
    <w:rsid w:val="006A26A4"/>
    <w:rsid w:val="006A2835"/>
    <w:rsid w:val="006A44B4"/>
    <w:rsid w:val="006A4516"/>
    <w:rsid w:val="006A461D"/>
    <w:rsid w:val="006A46A8"/>
    <w:rsid w:val="006A4FF6"/>
    <w:rsid w:val="006A693D"/>
    <w:rsid w:val="006B32BE"/>
    <w:rsid w:val="006B5D31"/>
    <w:rsid w:val="006B7FCB"/>
    <w:rsid w:val="006C111D"/>
    <w:rsid w:val="006C2A11"/>
    <w:rsid w:val="006C6AE0"/>
    <w:rsid w:val="006C7ADE"/>
    <w:rsid w:val="006D20AA"/>
    <w:rsid w:val="006D62C8"/>
    <w:rsid w:val="006E010F"/>
    <w:rsid w:val="006E4929"/>
    <w:rsid w:val="006E696F"/>
    <w:rsid w:val="006F4E0D"/>
    <w:rsid w:val="006F6F4F"/>
    <w:rsid w:val="00700722"/>
    <w:rsid w:val="00700DAB"/>
    <w:rsid w:val="00701A28"/>
    <w:rsid w:val="0070327B"/>
    <w:rsid w:val="00706564"/>
    <w:rsid w:val="007159BF"/>
    <w:rsid w:val="00716280"/>
    <w:rsid w:val="00717D1B"/>
    <w:rsid w:val="00720C67"/>
    <w:rsid w:val="00725813"/>
    <w:rsid w:val="0072633B"/>
    <w:rsid w:val="00727D83"/>
    <w:rsid w:val="00730690"/>
    <w:rsid w:val="0073451F"/>
    <w:rsid w:val="00737A22"/>
    <w:rsid w:val="00742A99"/>
    <w:rsid w:val="007433DE"/>
    <w:rsid w:val="007466BD"/>
    <w:rsid w:val="00750AE1"/>
    <w:rsid w:val="00753A0C"/>
    <w:rsid w:val="00754A34"/>
    <w:rsid w:val="00760B9C"/>
    <w:rsid w:val="007636DD"/>
    <w:rsid w:val="0076587A"/>
    <w:rsid w:val="00765DC7"/>
    <w:rsid w:val="00770277"/>
    <w:rsid w:val="00774F9B"/>
    <w:rsid w:val="00780B2E"/>
    <w:rsid w:val="00782AA5"/>
    <w:rsid w:val="00783A8D"/>
    <w:rsid w:val="00783DB1"/>
    <w:rsid w:val="00785291"/>
    <w:rsid w:val="007874C7"/>
    <w:rsid w:val="0079087F"/>
    <w:rsid w:val="007920D8"/>
    <w:rsid w:val="00794CAE"/>
    <w:rsid w:val="0079764C"/>
    <w:rsid w:val="007A375D"/>
    <w:rsid w:val="007A4B64"/>
    <w:rsid w:val="007B2B30"/>
    <w:rsid w:val="007B42A3"/>
    <w:rsid w:val="007B478F"/>
    <w:rsid w:val="007B72F3"/>
    <w:rsid w:val="007B7E29"/>
    <w:rsid w:val="007C1580"/>
    <w:rsid w:val="007C3E4A"/>
    <w:rsid w:val="007C4631"/>
    <w:rsid w:val="007C7C65"/>
    <w:rsid w:val="007D41E9"/>
    <w:rsid w:val="007D441B"/>
    <w:rsid w:val="007D6CAC"/>
    <w:rsid w:val="007E590D"/>
    <w:rsid w:val="007E693D"/>
    <w:rsid w:val="007E7179"/>
    <w:rsid w:val="007F48E2"/>
    <w:rsid w:val="007F669C"/>
    <w:rsid w:val="00801B33"/>
    <w:rsid w:val="00802816"/>
    <w:rsid w:val="0080362B"/>
    <w:rsid w:val="00805AD4"/>
    <w:rsid w:val="00812CEF"/>
    <w:rsid w:val="00824807"/>
    <w:rsid w:val="008338C5"/>
    <w:rsid w:val="00836559"/>
    <w:rsid w:val="00840EE8"/>
    <w:rsid w:val="00842142"/>
    <w:rsid w:val="00847092"/>
    <w:rsid w:val="00853BBD"/>
    <w:rsid w:val="00853C82"/>
    <w:rsid w:val="00853D21"/>
    <w:rsid w:val="00857873"/>
    <w:rsid w:val="00862B26"/>
    <w:rsid w:val="00865E48"/>
    <w:rsid w:val="008661D1"/>
    <w:rsid w:val="0086637B"/>
    <w:rsid w:val="00877252"/>
    <w:rsid w:val="008775B7"/>
    <w:rsid w:val="00886725"/>
    <w:rsid w:val="00887ACD"/>
    <w:rsid w:val="008913BB"/>
    <w:rsid w:val="008925B8"/>
    <w:rsid w:val="00893CE5"/>
    <w:rsid w:val="008A2167"/>
    <w:rsid w:val="008A4C1D"/>
    <w:rsid w:val="008A4FC6"/>
    <w:rsid w:val="008A511A"/>
    <w:rsid w:val="008A5B5F"/>
    <w:rsid w:val="008A5EED"/>
    <w:rsid w:val="008A647F"/>
    <w:rsid w:val="008B0AF2"/>
    <w:rsid w:val="008B1181"/>
    <w:rsid w:val="008B4F57"/>
    <w:rsid w:val="008B7B66"/>
    <w:rsid w:val="008C568D"/>
    <w:rsid w:val="008C7A1B"/>
    <w:rsid w:val="008D1430"/>
    <w:rsid w:val="008D3278"/>
    <w:rsid w:val="008E1185"/>
    <w:rsid w:val="008E19D0"/>
    <w:rsid w:val="008E48CD"/>
    <w:rsid w:val="008E6B7C"/>
    <w:rsid w:val="008F0A10"/>
    <w:rsid w:val="008F0F19"/>
    <w:rsid w:val="008F1B11"/>
    <w:rsid w:val="008F58C0"/>
    <w:rsid w:val="008F640B"/>
    <w:rsid w:val="0090024D"/>
    <w:rsid w:val="009003D4"/>
    <w:rsid w:val="00902F36"/>
    <w:rsid w:val="00907CF1"/>
    <w:rsid w:val="009103A0"/>
    <w:rsid w:val="00911C02"/>
    <w:rsid w:val="00912E55"/>
    <w:rsid w:val="00913E0E"/>
    <w:rsid w:val="009150C0"/>
    <w:rsid w:val="0091546F"/>
    <w:rsid w:val="0092425F"/>
    <w:rsid w:val="00930998"/>
    <w:rsid w:val="00930A6E"/>
    <w:rsid w:val="00930F01"/>
    <w:rsid w:val="0093323E"/>
    <w:rsid w:val="0093501E"/>
    <w:rsid w:val="00937DD6"/>
    <w:rsid w:val="00943226"/>
    <w:rsid w:val="00951CEE"/>
    <w:rsid w:val="009526DB"/>
    <w:rsid w:val="00953995"/>
    <w:rsid w:val="00954330"/>
    <w:rsid w:val="00954912"/>
    <w:rsid w:val="00955460"/>
    <w:rsid w:val="00956E82"/>
    <w:rsid w:val="00957CAA"/>
    <w:rsid w:val="00960544"/>
    <w:rsid w:val="00963B04"/>
    <w:rsid w:val="00963F87"/>
    <w:rsid w:val="00967136"/>
    <w:rsid w:val="00977833"/>
    <w:rsid w:val="009813D8"/>
    <w:rsid w:val="00986999"/>
    <w:rsid w:val="009872F4"/>
    <w:rsid w:val="00990B17"/>
    <w:rsid w:val="00992098"/>
    <w:rsid w:val="009928CD"/>
    <w:rsid w:val="00994162"/>
    <w:rsid w:val="00996D50"/>
    <w:rsid w:val="009A0794"/>
    <w:rsid w:val="009A0800"/>
    <w:rsid w:val="009A6292"/>
    <w:rsid w:val="009A6294"/>
    <w:rsid w:val="009A6766"/>
    <w:rsid w:val="009B012E"/>
    <w:rsid w:val="009B0B0E"/>
    <w:rsid w:val="009B16D0"/>
    <w:rsid w:val="009B194B"/>
    <w:rsid w:val="009B630D"/>
    <w:rsid w:val="009B72BD"/>
    <w:rsid w:val="009C3A7D"/>
    <w:rsid w:val="009C4E77"/>
    <w:rsid w:val="009D35E5"/>
    <w:rsid w:val="009D3625"/>
    <w:rsid w:val="009D74AC"/>
    <w:rsid w:val="009E37EC"/>
    <w:rsid w:val="009E394B"/>
    <w:rsid w:val="009E51A7"/>
    <w:rsid w:val="009F0183"/>
    <w:rsid w:val="009F0FAD"/>
    <w:rsid w:val="009F6311"/>
    <w:rsid w:val="009F6EC1"/>
    <w:rsid w:val="00A009DA"/>
    <w:rsid w:val="00A0145D"/>
    <w:rsid w:val="00A03CB8"/>
    <w:rsid w:val="00A057B8"/>
    <w:rsid w:val="00A1281F"/>
    <w:rsid w:val="00A129B6"/>
    <w:rsid w:val="00A33D98"/>
    <w:rsid w:val="00A3651D"/>
    <w:rsid w:val="00A36E34"/>
    <w:rsid w:val="00A42961"/>
    <w:rsid w:val="00A47597"/>
    <w:rsid w:val="00A503BD"/>
    <w:rsid w:val="00A512B0"/>
    <w:rsid w:val="00A54DD0"/>
    <w:rsid w:val="00A57FBC"/>
    <w:rsid w:val="00A647C0"/>
    <w:rsid w:val="00A70872"/>
    <w:rsid w:val="00A72A5B"/>
    <w:rsid w:val="00A8073C"/>
    <w:rsid w:val="00A8115C"/>
    <w:rsid w:val="00A86F53"/>
    <w:rsid w:val="00A943B3"/>
    <w:rsid w:val="00A946D4"/>
    <w:rsid w:val="00AA0AAF"/>
    <w:rsid w:val="00AA22F9"/>
    <w:rsid w:val="00AA3AC6"/>
    <w:rsid w:val="00AA5091"/>
    <w:rsid w:val="00AA6F9E"/>
    <w:rsid w:val="00AB1634"/>
    <w:rsid w:val="00AB4E41"/>
    <w:rsid w:val="00AB6295"/>
    <w:rsid w:val="00AC0A60"/>
    <w:rsid w:val="00AD4C62"/>
    <w:rsid w:val="00AD78B9"/>
    <w:rsid w:val="00AD78CE"/>
    <w:rsid w:val="00AE2347"/>
    <w:rsid w:val="00AF13F8"/>
    <w:rsid w:val="00AF1555"/>
    <w:rsid w:val="00AF36C8"/>
    <w:rsid w:val="00AF3F64"/>
    <w:rsid w:val="00AF780A"/>
    <w:rsid w:val="00AF7B13"/>
    <w:rsid w:val="00B0049E"/>
    <w:rsid w:val="00B01B81"/>
    <w:rsid w:val="00B06C16"/>
    <w:rsid w:val="00B12E9C"/>
    <w:rsid w:val="00B13580"/>
    <w:rsid w:val="00B15D74"/>
    <w:rsid w:val="00B15DB4"/>
    <w:rsid w:val="00B16A82"/>
    <w:rsid w:val="00B171DB"/>
    <w:rsid w:val="00B221DA"/>
    <w:rsid w:val="00B231F4"/>
    <w:rsid w:val="00B35AA7"/>
    <w:rsid w:val="00B40A00"/>
    <w:rsid w:val="00B43879"/>
    <w:rsid w:val="00B532EB"/>
    <w:rsid w:val="00B61F2C"/>
    <w:rsid w:val="00B6285D"/>
    <w:rsid w:val="00B63E7F"/>
    <w:rsid w:val="00B64247"/>
    <w:rsid w:val="00B644D3"/>
    <w:rsid w:val="00B64C5A"/>
    <w:rsid w:val="00B7329F"/>
    <w:rsid w:val="00B80D63"/>
    <w:rsid w:val="00B8282E"/>
    <w:rsid w:val="00B85C0E"/>
    <w:rsid w:val="00B868C5"/>
    <w:rsid w:val="00B910AA"/>
    <w:rsid w:val="00B91523"/>
    <w:rsid w:val="00B91788"/>
    <w:rsid w:val="00B93319"/>
    <w:rsid w:val="00B95242"/>
    <w:rsid w:val="00BB08D9"/>
    <w:rsid w:val="00BB320F"/>
    <w:rsid w:val="00BB35EA"/>
    <w:rsid w:val="00BB4D03"/>
    <w:rsid w:val="00BB68B4"/>
    <w:rsid w:val="00BB7AD2"/>
    <w:rsid w:val="00BC2764"/>
    <w:rsid w:val="00BC763A"/>
    <w:rsid w:val="00BD588D"/>
    <w:rsid w:val="00BE4262"/>
    <w:rsid w:val="00BE4E0D"/>
    <w:rsid w:val="00BF2E54"/>
    <w:rsid w:val="00BF4473"/>
    <w:rsid w:val="00BF626B"/>
    <w:rsid w:val="00C02991"/>
    <w:rsid w:val="00C03BFC"/>
    <w:rsid w:val="00C0479A"/>
    <w:rsid w:val="00C04DB5"/>
    <w:rsid w:val="00C06704"/>
    <w:rsid w:val="00C12402"/>
    <w:rsid w:val="00C13361"/>
    <w:rsid w:val="00C17C56"/>
    <w:rsid w:val="00C228BA"/>
    <w:rsid w:val="00C233F6"/>
    <w:rsid w:val="00C271CD"/>
    <w:rsid w:val="00C27283"/>
    <w:rsid w:val="00C2735F"/>
    <w:rsid w:val="00C3049B"/>
    <w:rsid w:val="00C33005"/>
    <w:rsid w:val="00C3371B"/>
    <w:rsid w:val="00C34444"/>
    <w:rsid w:val="00C34884"/>
    <w:rsid w:val="00C45B4E"/>
    <w:rsid w:val="00C46599"/>
    <w:rsid w:val="00C56042"/>
    <w:rsid w:val="00C57791"/>
    <w:rsid w:val="00C6179C"/>
    <w:rsid w:val="00C61AA7"/>
    <w:rsid w:val="00C64F6C"/>
    <w:rsid w:val="00C6635C"/>
    <w:rsid w:val="00C66D48"/>
    <w:rsid w:val="00C70DF4"/>
    <w:rsid w:val="00C76DA9"/>
    <w:rsid w:val="00C778A5"/>
    <w:rsid w:val="00C879A9"/>
    <w:rsid w:val="00C936FC"/>
    <w:rsid w:val="00C93C07"/>
    <w:rsid w:val="00C971F4"/>
    <w:rsid w:val="00C97989"/>
    <w:rsid w:val="00CA2D90"/>
    <w:rsid w:val="00CB537F"/>
    <w:rsid w:val="00CB5951"/>
    <w:rsid w:val="00CC1F81"/>
    <w:rsid w:val="00CC5462"/>
    <w:rsid w:val="00CD0FFD"/>
    <w:rsid w:val="00CD6923"/>
    <w:rsid w:val="00CD7395"/>
    <w:rsid w:val="00CE0AB3"/>
    <w:rsid w:val="00CE153C"/>
    <w:rsid w:val="00CE3F90"/>
    <w:rsid w:val="00CF0789"/>
    <w:rsid w:val="00CF1A22"/>
    <w:rsid w:val="00D00814"/>
    <w:rsid w:val="00D00F9F"/>
    <w:rsid w:val="00D0317F"/>
    <w:rsid w:val="00D12F9C"/>
    <w:rsid w:val="00D15FAC"/>
    <w:rsid w:val="00D2259E"/>
    <w:rsid w:val="00D2324D"/>
    <w:rsid w:val="00D2360C"/>
    <w:rsid w:val="00D241A7"/>
    <w:rsid w:val="00D25476"/>
    <w:rsid w:val="00D31A6A"/>
    <w:rsid w:val="00D32A60"/>
    <w:rsid w:val="00D3684B"/>
    <w:rsid w:val="00D371F0"/>
    <w:rsid w:val="00D40B62"/>
    <w:rsid w:val="00D42B68"/>
    <w:rsid w:val="00D4411F"/>
    <w:rsid w:val="00D4502D"/>
    <w:rsid w:val="00D50109"/>
    <w:rsid w:val="00D509BB"/>
    <w:rsid w:val="00D54A10"/>
    <w:rsid w:val="00D55D44"/>
    <w:rsid w:val="00D618C2"/>
    <w:rsid w:val="00D65BBA"/>
    <w:rsid w:val="00D67DC3"/>
    <w:rsid w:val="00D7590A"/>
    <w:rsid w:val="00D75F06"/>
    <w:rsid w:val="00D7646A"/>
    <w:rsid w:val="00D76F10"/>
    <w:rsid w:val="00D80F19"/>
    <w:rsid w:val="00D8543C"/>
    <w:rsid w:val="00D874EE"/>
    <w:rsid w:val="00D916D0"/>
    <w:rsid w:val="00D953D9"/>
    <w:rsid w:val="00D9600A"/>
    <w:rsid w:val="00D971BA"/>
    <w:rsid w:val="00D97656"/>
    <w:rsid w:val="00DA2513"/>
    <w:rsid w:val="00DA4C2B"/>
    <w:rsid w:val="00DA6A39"/>
    <w:rsid w:val="00DB170C"/>
    <w:rsid w:val="00DB5364"/>
    <w:rsid w:val="00DB797B"/>
    <w:rsid w:val="00DC1289"/>
    <w:rsid w:val="00DC3BE7"/>
    <w:rsid w:val="00DC452A"/>
    <w:rsid w:val="00DC53D2"/>
    <w:rsid w:val="00DD1326"/>
    <w:rsid w:val="00DD35C8"/>
    <w:rsid w:val="00DD402A"/>
    <w:rsid w:val="00DD45D6"/>
    <w:rsid w:val="00DD6193"/>
    <w:rsid w:val="00DE06F6"/>
    <w:rsid w:val="00DF5048"/>
    <w:rsid w:val="00DF6769"/>
    <w:rsid w:val="00DF6826"/>
    <w:rsid w:val="00E0237E"/>
    <w:rsid w:val="00E07587"/>
    <w:rsid w:val="00E21825"/>
    <w:rsid w:val="00E26242"/>
    <w:rsid w:val="00E27896"/>
    <w:rsid w:val="00E31EEE"/>
    <w:rsid w:val="00E329B4"/>
    <w:rsid w:val="00E3418A"/>
    <w:rsid w:val="00E37845"/>
    <w:rsid w:val="00E400EB"/>
    <w:rsid w:val="00E40689"/>
    <w:rsid w:val="00E5287C"/>
    <w:rsid w:val="00E54ACC"/>
    <w:rsid w:val="00E57C38"/>
    <w:rsid w:val="00E605BE"/>
    <w:rsid w:val="00E66923"/>
    <w:rsid w:val="00E70F84"/>
    <w:rsid w:val="00E712C8"/>
    <w:rsid w:val="00E71F43"/>
    <w:rsid w:val="00E72ED7"/>
    <w:rsid w:val="00E73B46"/>
    <w:rsid w:val="00E76760"/>
    <w:rsid w:val="00E774D6"/>
    <w:rsid w:val="00E774EB"/>
    <w:rsid w:val="00E8005C"/>
    <w:rsid w:val="00E80DF2"/>
    <w:rsid w:val="00E83D58"/>
    <w:rsid w:val="00E91826"/>
    <w:rsid w:val="00EA4B50"/>
    <w:rsid w:val="00EA51AA"/>
    <w:rsid w:val="00EA5CE1"/>
    <w:rsid w:val="00EB1508"/>
    <w:rsid w:val="00EB26AD"/>
    <w:rsid w:val="00EB30BC"/>
    <w:rsid w:val="00EB7A94"/>
    <w:rsid w:val="00EB7D73"/>
    <w:rsid w:val="00EC0D9B"/>
    <w:rsid w:val="00EC33F2"/>
    <w:rsid w:val="00EC476A"/>
    <w:rsid w:val="00EC48A6"/>
    <w:rsid w:val="00EC4AF9"/>
    <w:rsid w:val="00ED0512"/>
    <w:rsid w:val="00ED65FE"/>
    <w:rsid w:val="00EE20F1"/>
    <w:rsid w:val="00EE2511"/>
    <w:rsid w:val="00EE2847"/>
    <w:rsid w:val="00EE386E"/>
    <w:rsid w:val="00EE4602"/>
    <w:rsid w:val="00EE5227"/>
    <w:rsid w:val="00EE5FD4"/>
    <w:rsid w:val="00EF079D"/>
    <w:rsid w:val="00EF0D35"/>
    <w:rsid w:val="00EF1C71"/>
    <w:rsid w:val="00EF291A"/>
    <w:rsid w:val="00EF403A"/>
    <w:rsid w:val="00EF549C"/>
    <w:rsid w:val="00F00001"/>
    <w:rsid w:val="00F01ABD"/>
    <w:rsid w:val="00F03F98"/>
    <w:rsid w:val="00F12309"/>
    <w:rsid w:val="00F156D6"/>
    <w:rsid w:val="00F16F1E"/>
    <w:rsid w:val="00F406AB"/>
    <w:rsid w:val="00F515D6"/>
    <w:rsid w:val="00F56736"/>
    <w:rsid w:val="00F6375B"/>
    <w:rsid w:val="00F6451F"/>
    <w:rsid w:val="00F6616C"/>
    <w:rsid w:val="00F66325"/>
    <w:rsid w:val="00F70D99"/>
    <w:rsid w:val="00F74CF5"/>
    <w:rsid w:val="00F7612B"/>
    <w:rsid w:val="00F76D99"/>
    <w:rsid w:val="00F812EA"/>
    <w:rsid w:val="00F9169A"/>
    <w:rsid w:val="00FA0E24"/>
    <w:rsid w:val="00FA55C6"/>
    <w:rsid w:val="00FB162D"/>
    <w:rsid w:val="00FB6186"/>
    <w:rsid w:val="00FC1928"/>
    <w:rsid w:val="00FD0019"/>
    <w:rsid w:val="00FE3A49"/>
    <w:rsid w:val="00FE4DBF"/>
    <w:rsid w:val="00FE5D9A"/>
    <w:rsid w:val="00FE6B88"/>
    <w:rsid w:val="00FE713A"/>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32D2B"/>
  <w15:chartTrackingRefBased/>
  <w15:docId w15:val="{BCF43BD5-1393-49C7-B7ED-B45B1E33D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7833"/>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2"/>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3"/>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qFormat/>
    <w:rsid w:val="002300C6"/>
    <w:pPr>
      <w:jc w:val="both"/>
    </w:pPr>
    <w:rPr>
      <w:rFonts w:eastAsia="Times New Roman"/>
      <w:lang w:eastAsia="zh-CN"/>
    </w:rPr>
  </w:style>
  <w:style w:type="character" w:customStyle="1" w:styleId="BodyTextChar">
    <w:name w:val="Body Text Char"/>
    <w:link w:val="BodyText"/>
    <w:qForma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qFormat/>
    <w:rsid w:val="00B01B81"/>
    <w:rPr>
      <w:sz w:val="16"/>
      <w:szCs w:val="16"/>
    </w:rPr>
  </w:style>
  <w:style w:type="paragraph" w:styleId="CommentText">
    <w:name w:val="annotation text"/>
    <w:basedOn w:val="Normal"/>
    <w:link w:val="CommentTextChar"/>
    <w:qFormat/>
    <w:rsid w:val="00B01B81"/>
  </w:style>
  <w:style w:type="character" w:customStyle="1" w:styleId="CommentTextChar">
    <w:name w:val="Comment Text Char"/>
    <w:link w:val="CommentText"/>
    <w:qFormat/>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3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character" w:customStyle="1" w:styleId="normaltextrun">
    <w:name w:val="normaltextrun"/>
    <w:basedOn w:val="DefaultParagraphFont"/>
    <w:qFormat/>
    <w:rsid w:val="009E51A7"/>
  </w:style>
  <w:style w:type="paragraph" w:styleId="Revision">
    <w:name w:val="Revision"/>
    <w:hidden/>
    <w:uiPriority w:val="99"/>
    <w:semiHidden/>
    <w:rsid w:val="001B23FE"/>
    <w:rPr>
      <w:rFonts w:ascii="Arial" w:eastAsia="MS Mincho" w:hAnsi="Arial"/>
      <w:lang w:val="en-GB"/>
    </w:rPr>
  </w:style>
  <w:style w:type="paragraph" w:customStyle="1" w:styleId="Doc-text2">
    <w:name w:val="Doc-text2"/>
    <w:basedOn w:val="Normal"/>
    <w:link w:val="Doc-text2Char"/>
    <w:qFormat/>
    <w:rsid w:val="009D3625"/>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9D3625"/>
    <w:rPr>
      <w:rFonts w:ascii="Arial" w:eastAsia="MS Mincho" w:hAnsi="Arial"/>
      <w:szCs w:val="24"/>
      <w:lang w:val="x-none" w:eastAsia="x-none"/>
    </w:rPr>
  </w:style>
  <w:style w:type="character" w:customStyle="1" w:styleId="Heading1Char">
    <w:name w:val="Heading 1 Char"/>
    <w:link w:val="Heading1"/>
    <w:rsid w:val="00D7646A"/>
    <w:rPr>
      <w:rFonts w:ascii="Arial" w:eastAsia="MS Mincho" w:hAnsi="Arial"/>
      <w:sz w:val="36"/>
      <w:lang w:eastAsia="en-US"/>
    </w:rPr>
  </w:style>
  <w:style w:type="character" w:customStyle="1" w:styleId="Heading2Char">
    <w:name w:val="Heading 2 Char"/>
    <w:link w:val="Heading2"/>
    <w:rsid w:val="00D7646A"/>
    <w:rPr>
      <w:rFonts w:ascii="Arial" w:eastAsia="MS Mincho" w:hAnsi="Arial" w:cs="Arial"/>
      <w:bCs/>
      <w:iCs/>
      <w:sz w:val="32"/>
      <w:szCs w:val="28"/>
      <w:lang w:eastAsia="en-US"/>
    </w:rPr>
  </w:style>
  <w:style w:type="paragraph" w:styleId="ListNumber">
    <w:name w:val="List Number"/>
    <w:basedOn w:val="Normal"/>
    <w:rsid w:val="007C7C65"/>
    <w:pPr>
      <w:numPr>
        <w:numId w:val="1"/>
      </w:numPr>
      <w:contextualSpacing/>
    </w:pPr>
  </w:style>
  <w:style w:type="paragraph" w:customStyle="1" w:styleId="FirstChange">
    <w:name w:val="First Change"/>
    <w:basedOn w:val="Normal"/>
    <w:rsid w:val="00E3418A"/>
    <w:pPr>
      <w:overflowPunct/>
      <w:autoSpaceDE/>
      <w:autoSpaceDN/>
      <w:adjustRightInd/>
      <w:spacing w:after="180"/>
      <w:jc w:val="center"/>
      <w:textAlignment w:val="auto"/>
    </w:pPr>
    <w:rPr>
      <w:rFonts w:ascii="Times New Roman" w:eastAsia="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646322956">
      <w:bodyDiv w:val="1"/>
      <w:marLeft w:val="0"/>
      <w:marRight w:val="0"/>
      <w:marTop w:val="0"/>
      <w:marBottom w:val="0"/>
      <w:divBdr>
        <w:top w:val="none" w:sz="0" w:space="0" w:color="auto"/>
        <w:left w:val="none" w:sz="0" w:space="0" w:color="auto"/>
        <w:bottom w:val="none" w:sz="0" w:space="0" w:color="auto"/>
        <w:right w:val="none" w:sz="0" w:space="0" w:color="auto"/>
      </w:divBdr>
      <w:divsChild>
        <w:div w:id="1386375169">
          <w:marLeft w:val="1080"/>
          <w:marRight w:val="0"/>
          <w:marTop w:val="0"/>
          <w:marBottom w:val="60"/>
          <w:divBdr>
            <w:top w:val="none" w:sz="0" w:space="0" w:color="auto"/>
            <w:left w:val="none" w:sz="0" w:space="0" w:color="auto"/>
            <w:bottom w:val="none" w:sz="0" w:space="0" w:color="auto"/>
            <w:right w:val="none" w:sz="0" w:space="0" w:color="auto"/>
          </w:divBdr>
        </w:div>
      </w:divsChild>
    </w:div>
    <w:div w:id="802771641">
      <w:bodyDiv w:val="1"/>
      <w:marLeft w:val="0"/>
      <w:marRight w:val="0"/>
      <w:marTop w:val="0"/>
      <w:marBottom w:val="0"/>
      <w:divBdr>
        <w:top w:val="none" w:sz="0" w:space="0" w:color="auto"/>
        <w:left w:val="none" w:sz="0" w:space="0" w:color="auto"/>
        <w:bottom w:val="none" w:sz="0" w:space="0" w:color="auto"/>
        <w:right w:val="none" w:sz="0" w:space="0" w:color="auto"/>
      </w:divBdr>
      <w:divsChild>
        <w:div w:id="244462346">
          <w:marLeft w:val="1080"/>
          <w:marRight w:val="0"/>
          <w:marTop w:val="0"/>
          <w:marBottom w:val="6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195269237">
      <w:bodyDiv w:val="1"/>
      <w:marLeft w:val="0"/>
      <w:marRight w:val="0"/>
      <w:marTop w:val="0"/>
      <w:marBottom w:val="0"/>
      <w:divBdr>
        <w:top w:val="none" w:sz="0" w:space="0" w:color="auto"/>
        <w:left w:val="none" w:sz="0" w:space="0" w:color="auto"/>
        <w:bottom w:val="none" w:sz="0" w:space="0" w:color="auto"/>
        <w:right w:val="none" w:sz="0" w:space="0" w:color="auto"/>
      </w:divBdr>
      <w:divsChild>
        <w:div w:id="2071730526">
          <w:marLeft w:val="1800"/>
          <w:marRight w:val="0"/>
          <w:marTop w:val="0"/>
          <w:marBottom w:val="60"/>
          <w:divBdr>
            <w:top w:val="none" w:sz="0" w:space="0" w:color="auto"/>
            <w:left w:val="none" w:sz="0" w:space="0" w:color="auto"/>
            <w:bottom w:val="none" w:sz="0" w:space="0" w:color="auto"/>
            <w:right w:val="none" w:sz="0" w:space="0" w:color="auto"/>
          </w:divBdr>
        </w:div>
      </w:divsChild>
    </w:div>
    <w:div w:id="1344625746">
      <w:bodyDiv w:val="1"/>
      <w:marLeft w:val="0"/>
      <w:marRight w:val="0"/>
      <w:marTop w:val="0"/>
      <w:marBottom w:val="0"/>
      <w:divBdr>
        <w:top w:val="none" w:sz="0" w:space="0" w:color="auto"/>
        <w:left w:val="none" w:sz="0" w:space="0" w:color="auto"/>
        <w:bottom w:val="none" w:sz="0" w:space="0" w:color="auto"/>
        <w:right w:val="none" w:sz="0" w:space="0" w:color="auto"/>
      </w:divBdr>
      <w:divsChild>
        <w:div w:id="1444420248">
          <w:marLeft w:val="1080"/>
          <w:marRight w:val="0"/>
          <w:marTop w:val="0"/>
          <w:marBottom w:val="60"/>
          <w:divBdr>
            <w:top w:val="none" w:sz="0" w:space="0" w:color="auto"/>
            <w:left w:val="none" w:sz="0" w:space="0" w:color="auto"/>
            <w:bottom w:val="none" w:sz="0" w:space="0" w:color="auto"/>
            <w:right w:val="none" w:sz="0" w:space="0" w:color="auto"/>
          </w:divBdr>
        </w:div>
        <w:div w:id="278337397">
          <w:marLeft w:val="1080"/>
          <w:marRight w:val="0"/>
          <w:marTop w:val="0"/>
          <w:marBottom w:val="60"/>
          <w:divBdr>
            <w:top w:val="none" w:sz="0" w:space="0" w:color="auto"/>
            <w:left w:val="none" w:sz="0" w:space="0" w:color="auto"/>
            <w:bottom w:val="none" w:sz="0" w:space="0" w:color="auto"/>
            <w:right w:val="none" w:sz="0" w:space="0" w:color="auto"/>
          </w:divBdr>
        </w:div>
        <w:div w:id="215511891">
          <w:marLeft w:val="1080"/>
          <w:marRight w:val="0"/>
          <w:marTop w:val="0"/>
          <w:marBottom w:val="60"/>
          <w:divBdr>
            <w:top w:val="none" w:sz="0" w:space="0" w:color="auto"/>
            <w:left w:val="none" w:sz="0" w:space="0" w:color="auto"/>
            <w:bottom w:val="none" w:sz="0" w:space="0" w:color="auto"/>
            <w:right w:val="none" w:sz="0" w:space="0" w:color="auto"/>
          </w:divBdr>
        </w:div>
      </w:divsChild>
    </w:div>
    <w:div w:id="1917394898">
      <w:bodyDiv w:val="1"/>
      <w:marLeft w:val="0"/>
      <w:marRight w:val="0"/>
      <w:marTop w:val="0"/>
      <w:marBottom w:val="0"/>
      <w:divBdr>
        <w:top w:val="none" w:sz="0" w:space="0" w:color="auto"/>
        <w:left w:val="none" w:sz="0" w:space="0" w:color="auto"/>
        <w:bottom w:val="none" w:sz="0" w:space="0" w:color="auto"/>
        <w:right w:val="none" w:sz="0" w:space="0" w:color="auto"/>
      </w:divBdr>
      <w:divsChild>
        <w:div w:id="354113974">
          <w:marLeft w:val="2261"/>
          <w:marRight w:val="0"/>
          <w:marTop w:val="60"/>
          <w:marBottom w:val="0"/>
          <w:divBdr>
            <w:top w:val="none" w:sz="0" w:space="0" w:color="auto"/>
            <w:left w:val="none" w:sz="0" w:space="0" w:color="auto"/>
            <w:bottom w:val="none" w:sz="0" w:space="0" w:color="auto"/>
            <w:right w:val="none" w:sz="0" w:space="0" w:color="auto"/>
          </w:divBdr>
        </w:div>
        <w:div w:id="809977754">
          <w:marLeft w:val="2261"/>
          <w:marRight w:val="0"/>
          <w:marTop w:val="60"/>
          <w:marBottom w:val="0"/>
          <w:divBdr>
            <w:top w:val="none" w:sz="0" w:space="0" w:color="auto"/>
            <w:left w:val="none" w:sz="0" w:space="0" w:color="auto"/>
            <w:bottom w:val="none" w:sz="0" w:space="0" w:color="auto"/>
            <w:right w:val="none" w:sz="0" w:space="0" w:color="auto"/>
          </w:divBdr>
        </w:div>
        <w:div w:id="1002929464">
          <w:marLeft w:val="2261"/>
          <w:marRight w:val="0"/>
          <w:marTop w:val="60"/>
          <w:marBottom w:val="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2.xml><?xml version="1.0" encoding="utf-8"?>
<ds:datastoreItem xmlns:ds="http://schemas.openxmlformats.org/officeDocument/2006/customXml" ds:itemID="{49D0672F-70E5-4040-B302-8F37BAB696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2BE28FC-8AE0-4E76-977A-283702BF9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2625</Words>
  <Characters>12181</Characters>
  <Application>Microsoft Office Word</Application>
  <DocSecurity>0</DocSecurity>
  <Lines>101</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108-e</vt:lpstr>
      <vt:lpstr>3GPP TSG-RAN WG3 Meeting #60</vt:lpstr>
    </vt:vector>
  </TitlesOfParts>
  <Company>Siemens AG</Company>
  <LinksUpToDate>false</LinksUpToDate>
  <CharactersWithSpaces>14777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108-e</dc:title>
  <dc:subject/>
  <dc:creator>Ericsson</dc:creator>
  <cp:keywords/>
  <cp:lastModifiedBy>Ericsson User</cp:lastModifiedBy>
  <cp:revision>51</cp:revision>
  <dcterms:created xsi:type="dcterms:W3CDTF">2023-04-06T19:27:00Z</dcterms:created>
  <dcterms:modified xsi:type="dcterms:W3CDTF">2023-04-06T21:33:00Z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CatchAll">
    <vt:lpwstr/>
  </property>
  <property fmtid="{D5CDD505-2E9C-101B-9397-08002B2CF9AE}" pid="4" name="_ip_UnifiedCompliancePolicyUIAction">
    <vt:lpwstr/>
  </property>
  <property fmtid="{D5CDD505-2E9C-101B-9397-08002B2CF9AE}" pid="5" name="lcf76f155ced4ddcb4097134ff3c332f">
    <vt:lpwstr/>
  </property>
  <property fmtid="{D5CDD505-2E9C-101B-9397-08002B2CF9AE}" pid="6" name="_ip_UnifiedCompliancePolicyProperties">
    <vt:lpwstr/>
  </property>
  <property fmtid="{D5CDD505-2E9C-101B-9397-08002B2CF9AE}" pid="7" name="Sign-off status">
    <vt:lpwstr/>
  </property>
  <property fmtid="{D5CDD505-2E9C-101B-9397-08002B2CF9AE}" pid="8" name="Checked by">
    <vt:lpwstr>0x010100F3E9551B3FDDA24EBF0A209BAAD637CA</vt:lpwstr>
  </property>
  <property fmtid="{D5CDD505-2E9C-101B-9397-08002B2CF9AE}" pid="9" name="Exact">
    <vt:lpwstr>551</vt:lpwstr>
  </property>
  <property fmtid="{D5CDD505-2E9C-101B-9397-08002B2CF9AE}" pid="10" name="MediaServiceImageTags">
    <vt:lpwstr/>
  </property>
</Properties>
</file>